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Calibri" w:hAnsi="Calibri" w:eastAsia="Calibri"/>
          <w:b/>
          <w:sz w:val="40"/>
        </w:rPr>
        <w:t>Industrial NTP Time Server — Bid Technical Proposal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Item</w:t>
            </w:r>
          </w:p>
        </w:tc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Content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Audience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Agents / end customers / tender package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Document title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Bid Technical Proposal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Doc No.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`DOC-Q3000-BID-EN-011`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Product model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QYTS-3000-BG-T-S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Document type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Bid / tender technical proposal (project name fillable)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Document version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1.0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Firmware baseline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V4.9.0 (see nameplate / Web “Firmware / Build”)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Companion attachments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Product Specification (Shipping); Reference · Serve Policy · Capacity (One Page); User Guide (bid-sanitized); Industrial Interface Protocol</w:t>
            </w:r>
          </w:p>
        </w:tc>
      </w:tr>
    </w:tbl>
    <w:p/>
    <w:p>
      <w:pPr>
        <w:spacing w:before="80" w:after="80"/>
        <w:ind w:left="454"/>
      </w:pPr>
      <w:r>
        <w:rPr>
          <w:rFonts w:ascii="Calibri" w:hAnsi="Calibri" w:eastAsia="Calibri"/>
          <w:b/>
          <w:i/>
          <w:color w:val="444444"/>
          <w:sz w:val="20"/>
        </w:rPr>
        <w:t>Fill before submission:</w:t>
      </w:r>
    </w:p>
    <w:p>
      <w:pPr>
        <w:spacing w:before="80" w:after="80"/>
        <w:ind w:left="454"/>
      </w:pPr>
      <w:r>
        <w:rPr>
          <w:rFonts w:ascii="Calibri" w:hAnsi="Calibri" w:eastAsia="Calibri"/>
          <w:b w:val="0"/>
          <w:i/>
          <w:color w:val="444444"/>
          <w:sz w:val="20"/>
        </w:rPr>
        <w:t>Tender / project name: ____________________</w:t>
      </w:r>
    </w:p>
    <w:p>
      <w:pPr>
        <w:spacing w:before="80" w:after="80"/>
        <w:ind w:left="454"/>
      </w:pPr>
      <w:r>
        <w:rPr>
          <w:rFonts w:ascii="Calibri" w:hAnsi="Calibri" w:eastAsia="Calibri"/>
          <w:b w:val="0"/>
          <w:i/>
          <w:color w:val="444444"/>
          <w:sz w:val="20"/>
        </w:rPr>
        <w:t>Tender No.: ____________________</w:t>
      </w:r>
    </w:p>
    <w:p>
      <w:pPr>
        <w:spacing w:before="80" w:after="80"/>
        <w:ind w:left="454"/>
      </w:pPr>
      <w:r>
        <w:rPr>
          <w:rFonts w:ascii="Calibri" w:hAnsi="Calibri" w:eastAsia="Calibri"/>
          <w:b w:val="0"/>
          <w:i/>
          <w:color w:val="444444"/>
          <w:sz w:val="20"/>
        </w:rPr>
        <w:t>Bidder: ____________________</w:t>
      </w:r>
    </w:p>
    <w:p>
      <w:pPr>
        <w:spacing w:before="80" w:after="80"/>
        <w:ind w:left="454"/>
      </w:pPr>
      <w:r>
        <w:rPr>
          <w:rFonts w:ascii="Calibri" w:hAnsi="Calibri" w:eastAsia="Calibri"/>
          <w:b w:val="0"/>
          <w:i/>
          <w:color w:val="444444"/>
          <w:sz w:val="20"/>
        </w:rPr>
        <w:t>Date: ____________________</w:t>
      </w:r>
    </w:p>
    <w:p/>
    <w:p>
      <w:pPr>
        <w:pStyle w:val="Heading1"/>
        <w:spacing w:before="240" w:after="120"/>
      </w:pPr>
      <w:r>
        <w:rPr>
          <w:rFonts w:ascii="Calibri" w:hAnsi="Calibri" w:eastAsia="Calibri"/>
          <w:b/>
          <w:sz w:val="28"/>
        </w:rPr>
        <w:t>1. Purpose and Basis</w:t>
      </w:r>
    </w:p>
    <w:p>
      <w:pPr>
        <w:pStyle w:val="Heading2"/>
        <w:spacing w:before="200" w:after="80"/>
      </w:pPr>
      <w:r>
        <w:rPr>
          <w:rFonts w:ascii="Calibri" w:hAnsi="Calibri" w:eastAsia="Calibri"/>
          <w:b/>
          <w:sz w:val="24"/>
        </w:rPr>
        <w:t>1.1 Purpose</w:t>
      </w:r>
    </w:p>
    <w:p>
      <w:r>
        <w:rPr>
          <w:rFonts w:ascii="Calibri" w:hAnsi="Calibri" w:eastAsia="Calibri"/>
          <w:b w:val="0"/>
          <w:sz w:val="22"/>
        </w:rPr>
        <w:t xml:space="preserve">This document responds to tender requirements for a </w:t>
      </w:r>
      <w:r>
        <w:rPr>
          <w:rFonts w:ascii="Calibri" w:hAnsi="Calibri" w:eastAsia="Calibri"/>
          <w:b/>
          <w:sz w:val="22"/>
        </w:rPr>
        <w:t>LAN time server / GNSS-synchronized clock / NTP stratum-1 appliance</w:t>
      </w:r>
      <w:r>
        <w:rPr>
          <w:rFonts w:ascii="Calibri" w:hAnsi="Calibri" w:eastAsia="Calibri"/>
          <w:b w:val="0"/>
          <w:sz w:val="22"/>
        </w:rPr>
        <w:t>, covering architecture, performance claims, interfaces, deployment, and acceptance recommendations for technical evaluation.</w:t>
      </w:r>
    </w:p>
    <w:p>
      <w:pPr>
        <w:pStyle w:val="Heading2"/>
        <w:spacing w:before="200" w:after="80"/>
      </w:pPr>
      <w:r>
        <w:rPr>
          <w:rFonts w:ascii="Calibri" w:hAnsi="Calibri" w:eastAsia="Calibri"/>
          <w:b/>
          <w:sz w:val="24"/>
        </w:rPr>
        <w:t>1.2 Basis</w:t>
      </w:r>
    </w:p>
    <w:p>
      <w:pPr>
        <w:pStyle w:val="ListBullet"/>
      </w:pPr>
      <w:r>
        <w:rPr>
          <w:rFonts w:ascii="Calibri" w:hAnsi="Calibri" w:eastAsia="Calibri"/>
          <w:b w:val="0"/>
          <w:sz w:val="22"/>
        </w:rPr>
        <w:t>Purchaser’s tender documents (controlling text)</w:t>
      </w:r>
    </w:p>
    <w:p>
      <w:pPr>
        <w:pStyle w:val="ListBullet"/>
      </w:pPr>
      <w:r>
        <w:rPr>
          <w:rFonts w:ascii="Calibri" w:hAnsi="Calibri" w:eastAsia="Calibri"/>
          <w:b w:val="0"/>
          <w:sz w:val="22"/>
        </w:rPr>
        <w:t>Shipping Product Specification Product Specification (Shipping)</w:t>
      </w:r>
    </w:p>
    <w:p>
      <w:pPr>
        <w:pStyle w:val="ListBullet"/>
      </w:pPr>
      <w:r>
        <w:rPr>
          <w:rFonts w:ascii="Calibri" w:hAnsi="Calibri" w:eastAsia="Calibri"/>
          <w:b w:val="0"/>
          <w:sz w:val="22"/>
        </w:rPr>
        <w:t>One-pager Reference · Serve Policy · Capacity Selection Sheet (Reference · Policy · Capacity)</w:t>
      </w:r>
    </w:p>
    <w:p>
      <w:pPr>
        <w:pStyle w:val="ListBullet"/>
      </w:pPr>
      <w:r>
        <w:rPr>
          <w:rFonts w:ascii="Calibri" w:hAnsi="Calibri" w:eastAsia="Calibri"/>
          <w:b w:val="0"/>
          <w:sz w:val="22"/>
        </w:rPr>
        <w:t>Bid-sanitized User Guide 用户指南（标书脱敏版） (</w:t>
      </w:r>
      <w:r>
        <w:rPr>
          <w:rFonts w:ascii="Calibri" w:hAnsi="Calibri" w:eastAsia="Calibri"/>
          <w:b/>
          <w:sz w:val="22"/>
        </w:rPr>
        <w:t>do not</w:t>
      </w:r>
      <w:r>
        <w:rPr>
          <w:rFonts w:ascii="Calibri" w:hAnsi="Calibri" w:eastAsia="Calibri"/>
          <w:b w:val="0"/>
          <w:sz w:val="22"/>
        </w:rPr>
        <w:t xml:space="preserve"> attach the shipping edition that contains factory credentials)</w:t>
      </w:r>
    </w:p>
    <w:p>
      <w:pPr>
        <w:pStyle w:val="ListBullet"/>
      </w:pPr>
      <w:r>
        <w:rPr>
          <w:rFonts w:ascii="Calibri" w:hAnsi="Calibri" w:eastAsia="Calibri"/>
          <w:b w:val="0"/>
          <w:sz w:val="22"/>
        </w:rPr>
        <w:t>Industrial Interface Protocol 工业接口协议附件</w:t>
      </w:r>
    </w:p>
    <w:p>
      <w:pPr>
        <w:pStyle w:val="ListBullet"/>
      </w:pPr>
      <w:r>
        <w:rPr>
          <w:rFonts w:ascii="Calibri" w:hAnsi="Calibri" w:eastAsia="Calibri"/>
          <w:b w:val="0"/>
          <w:sz w:val="22"/>
        </w:rPr>
        <w:t>NTP RFC 5905 (server-side common subset as implemented)</w:t>
      </w:r>
    </w:p>
    <w:p>
      <w:pPr>
        <w:pStyle w:val="ListBullet"/>
      </w:pPr>
      <w:r>
        <w:rPr>
          <w:rFonts w:ascii="Calibri" w:hAnsi="Calibri" w:eastAsia="Calibri"/>
          <w:b w:val="0"/>
          <w:sz w:val="22"/>
        </w:rPr>
        <w:t>Modbus RTU industrial practice (9600 8N1 slave)</w:t>
      </w:r>
    </w:p>
    <w:p>
      <w:pPr>
        <w:pStyle w:val="Heading2"/>
        <w:spacing w:before="200" w:after="80"/>
      </w:pPr>
      <w:r>
        <w:rPr>
          <w:rFonts w:ascii="Calibri" w:hAnsi="Calibri" w:eastAsia="Calibri"/>
          <w:b/>
          <w:sz w:val="24"/>
        </w:rPr>
        <w:t>1.3 Response Principles</w:t>
      </w:r>
    </w:p>
    <w:p>
      <w:pPr>
        <w:pStyle w:val="ListNumber"/>
      </w:pPr>
      <w:r>
        <w:rPr>
          <w:rFonts w:ascii="Calibri" w:hAnsi="Calibri" w:eastAsia="Calibri"/>
          <w:b/>
          <w:sz w:val="22"/>
        </w:rPr>
        <w:t>Per-channel claims:</w:t>
      </w:r>
      <w:r>
        <w:rPr>
          <w:rFonts w:ascii="Calibri" w:hAnsi="Calibri" w:eastAsia="Calibri"/>
          <w:b w:val="0"/>
          <w:sz w:val="22"/>
        </w:rPr>
        <w:t xml:space="preserve"> NTP, RS-485 Modbus, TTL 1PPS, and IRIG-B120 metrics are </w:t>
      </w:r>
      <w:r>
        <w:rPr>
          <w:rFonts w:ascii="Calibri" w:hAnsi="Calibri" w:eastAsia="Calibri"/>
          <w:b/>
          <w:sz w:val="22"/>
        </w:rPr>
        <w:t>independent</w:t>
      </w:r>
      <w:r>
        <w:rPr>
          <w:rFonts w:ascii="Calibri" w:hAnsi="Calibri" w:eastAsia="Calibri"/>
          <w:b w:val="0"/>
          <w:sz w:val="22"/>
        </w:rPr>
        <w:t xml:space="preserve"> and must not be cross-applied.</w:t>
      </w:r>
    </w:p>
    <w:p>
      <w:pPr>
        <w:pStyle w:val="ListNumber"/>
      </w:pPr>
      <w:r>
        <w:rPr>
          <w:rFonts w:ascii="Calibri" w:hAnsi="Calibri" w:eastAsia="Calibri"/>
          <w:b/>
          <w:sz w:val="22"/>
        </w:rPr>
        <w:t>Testable:</w:t>
      </w:r>
      <w:r>
        <w:rPr>
          <w:rFonts w:ascii="Calibri" w:hAnsi="Calibri" w:eastAsia="Calibri"/>
          <w:b w:val="0"/>
          <w:sz w:val="22"/>
        </w:rPr>
        <w:t xml:space="preserve"> Contracted metrics should map to practical acceptance methods (Section 6).</w:t>
      </w:r>
    </w:p>
    <w:p>
      <w:pPr>
        <w:pStyle w:val="ListNumber"/>
      </w:pPr>
      <w:r>
        <w:rPr>
          <w:rFonts w:ascii="Calibri" w:hAnsi="Calibri" w:eastAsia="Calibri"/>
          <w:b/>
          <w:sz w:val="22"/>
        </w:rPr>
        <w:t>Clear exclusions:</w:t>
      </w:r>
      <w:r>
        <w:rPr>
          <w:rFonts w:ascii="Calibri" w:hAnsi="Calibri" w:eastAsia="Calibri"/>
          <w:b w:val="0"/>
          <w:sz w:val="22"/>
        </w:rPr>
        <w:t xml:space="preserve"> Capabilities not implemented (PTP/IEEE 1588, dual-port redundancy, IPv6, NTS, etc.) are </w:t>
      </w:r>
      <w:r>
        <w:rPr>
          <w:rFonts w:ascii="Calibri" w:hAnsi="Calibri" w:eastAsia="Calibri"/>
          <w:b/>
          <w:sz w:val="22"/>
        </w:rPr>
        <w:t>not</w:t>
      </w:r>
      <w:r>
        <w:rPr>
          <w:rFonts w:ascii="Calibri" w:hAnsi="Calibri" w:eastAsia="Calibri"/>
          <w:b w:val="0"/>
          <w:sz w:val="22"/>
        </w:rPr>
        <w:t xml:space="preserve"> claimed.</w:t>
      </w:r>
    </w:p>
    <w:p/>
    <w:p>
      <w:pPr>
        <w:pStyle w:val="Heading1"/>
        <w:spacing w:before="240" w:after="120"/>
      </w:pPr>
      <w:r>
        <w:rPr>
          <w:rFonts w:ascii="Calibri" w:hAnsi="Calibri" w:eastAsia="Calibri"/>
          <w:b/>
          <w:sz w:val="28"/>
        </w:rPr>
        <w:t>2. Understanding and Overall Solution</w:t>
      </w:r>
    </w:p>
    <w:p>
      <w:pPr>
        <w:pStyle w:val="Heading2"/>
        <w:spacing w:before="200" w:after="80"/>
      </w:pPr>
      <w:r>
        <w:rPr>
          <w:rFonts w:ascii="Calibri" w:hAnsi="Calibri" w:eastAsia="Calibri"/>
          <w:b/>
          <w:sz w:val="24"/>
        </w:rPr>
        <w:t>2.1 Typical Needs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022"/>
        <w:gridCol w:w="3022"/>
        <w:gridCol w:w="3022"/>
      </w:tblGrid>
      <w:tr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Consumer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Typical need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Channel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Servers / PCs / NVR / switches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LAN NTP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RJ45 NTP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PLC / SCADA / HMI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Absolute time stamps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RS-485 Modbus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DAQ / scopes / sync nodes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Hardware second edge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TTL 1PPS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Power / legacy timing gear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IRIG-B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IRIG-B120 DCLS</w:t>
            </w:r>
          </w:p>
        </w:tc>
      </w:tr>
    </w:tbl>
    <w:p/>
    <w:p>
      <w:pPr>
        <w:pStyle w:val="Heading2"/>
        <w:spacing w:before="200" w:after="80"/>
      </w:pPr>
      <w:r>
        <w:rPr>
          <w:rFonts w:ascii="Calibri" w:hAnsi="Calibri" w:eastAsia="Calibri"/>
          <w:b/>
          <w:sz w:val="24"/>
        </w:rPr>
        <w:t>2.2 Technical Approach</w:t>
      </w:r>
    </w:p>
    <w:p>
      <w:r>
        <w:rPr>
          <w:rFonts w:ascii="Calibri" w:hAnsi="Calibri" w:eastAsia="Calibri"/>
          <w:b/>
          <w:sz w:val="22"/>
        </w:rPr>
        <w:t>GNSS 1PPS + local oscillator disciplining + RTC/SQW holdover + parallel multi-channel outputs:</w:t>
      </w:r>
    </w:p>
    <w:p>
      <w:pPr>
        <w:spacing w:before="120" w:after="120"/>
        <w:ind w:left="283"/>
      </w:pPr>
      <w:r>
        <w:rPr>
          <w:rFonts w:ascii="Consolas" w:hAnsi="Consolas" w:eastAsia="Consolas"/>
          <w:b w:val="0"/>
          <w:color w:val="1E1E1E"/>
          <w:sz w:val="18"/>
        </w:rPr>
        <w:t>Outdoor GNSS antenna</w:t>
        <w:br/>
        <w:t xml:space="preserve">        │</w:t>
        <w:br/>
        <w:t xml:space="preserve">        ▼</w:t>
        <w:br/>
        <w:t xml:space="preserve"> GNSS module (1PPS + navigation data)</w:t>
        <w:br/>
        <w:t xml:space="preserve">        │</w:t>
        <w:br/>
        <w:t xml:space="preserve">        ▼</w:t>
        <w:br/>
        <w:t xml:space="preserve"> Disciplining / phase monitor / state machine (LOCK / HOLDOVER)</w:t>
        <w:br/>
        <w:t xml:space="preserve">        ├──► RJ45: NTP server + Web management</w:t>
        <w:br/>
        <w:t xml:space="preserve">        ├──► RS-485: Modbus RTU absolute time</w:t>
        <w:br/>
        <w:t xml:space="preserve">        ├──► TTL: 1PPS</w:t>
        <w:br/>
        <w:t xml:space="preserve">        └──► IRIG-B120: DCLS timecode</w:t>
      </w:r>
    </w:p>
    <w:p>
      <w:r>
        <w:rPr>
          <w:rFonts w:ascii="Calibri" w:hAnsi="Calibri" w:eastAsia="Calibri"/>
          <w:b w:val="0"/>
          <w:sz w:val="22"/>
        </w:rPr>
        <w:t xml:space="preserve">After </w:t>
      </w:r>
      <w:r>
        <w:rPr>
          <w:rFonts w:ascii="Calibri" w:hAnsi="Calibri" w:eastAsia="Calibri"/>
          <w:b/>
          <w:sz w:val="22"/>
        </w:rPr>
        <w:t>LOCK</w:t>
      </w:r>
      <w:r>
        <w:rPr>
          <w:rFonts w:ascii="Calibri" w:hAnsi="Calibri" w:eastAsia="Calibri"/>
          <w:b w:val="0"/>
          <w:sz w:val="22"/>
        </w:rPr>
        <w:t xml:space="preserve">, the unit operates as an </w:t>
      </w:r>
      <w:r>
        <w:rPr>
          <w:rFonts w:ascii="Calibri" w:hAnsi="Calibri" w:eastAsia="Calibri"/>
          <w:b/>
          <w:sz w:val="22"/>
        </w:rPr>
        <w:t>NTP Stratum 1</w:t>
      </w:r>
      <w:r>
        <w:rPr>
          <w:rFonts w:ascii="Calibri" w:hAnsi="Calibri" w:eastAsia="Calibri"/>
          <w:b w:val="0"/>
          <w:sz w:val="22"/>
        </w:rPr>
        <w:t xml:space="preserve"> server. Brief GNSS loss enters </w:t>
      </w:r>
      <w:r>
        <w:rPr>
          <w:rFonts w:ascii="Calibri" w:hAnsi="Calibri" w:eastAsia="Calibri"/>
          <w:b/>
          <w:sz w:val="22"/>
        </w:rPr>
        <w:t>Holdover</w:t>
      </w:r>
      <w:r>
        <w:rPr>
          <w:rFonts w:ascii="Calibri" w:hAnsi="Calibri" w:eastAsia="Calibri"/>
          <w:b w:val="0"/>
          <w:sz w:val="22"/>
        </w:rPr>
        <w:t xml:space="preserve"> with degrading quality over time (see Product Spec).</w:t>
      </w:r>
    </w:p>
    <w:p>
      <w:pPr>
        <w:pStyle w:val="Heading2"/>
        <w:spacing w:before="200" w:after="80"/>
      </w:pPr>
      <w:r>
        <w:rPr>
          <w:rFonts w:ascii="Calibri" w:hAnsi="Calibri" w:eastAsia="Calibri"/>
          <w:b/>
          <w:sz w:val="24"/>
        </w:rPr>
        <w:t>2.3 Evaluation Highlights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Point</w:t>
            </w:r>
          </w:p>
        </w:tc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Description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Primary reference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GNSS-based; not dependent on an upstream NTP server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IT + OT in one box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NTP plus Modbus / PPS / IRIG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Operability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Web Dashboard, LCD, event &amp; 24h quality CSV export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Traceability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Factory SETID; firmware Build ID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Compliant wording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Accuracy stated per interface — no “10 ns over Ethernet” claim</w:t>
            </w:r>
          </w:p>
        </w:tc>
      </w:tr>
    </w:tbl>
    <w:p/>
    <w:p/>
    <w:p>
      <w:pPr>
        <w:pStyle w:val="Heading1"/>
        <w:spacing w:before="240" w:after="120"/>
      </w:pPr>
      <w:r>
        <w:rPr>
          <w:rFonts w:ascii="Calibri" w:hAnsi="Calibri" w:eastAsia="Calibri"/>
          <w:b/>
          <w:sz w:val="28"/>
        </w:rPr>
        <w:t>3. Scope of Supply</w:t>
      </w:r>
    </w:p>
    <w:p>
      <w:pPr>
        <w:pStyle w:val="Heading2"/>
        <w:spacing w:before="200" w:after="80"/>
      </w:pPr>
      <w:r>
        <w:rPr>
          <w:rFonts w:ascii="Calibri" w:hAnsi="Calibri" w:eastAsia="Calibri"/>
          <w:b/>
          <w:sz w:val="24"/>
        </w:rPr>
        <w:t>3.1 Hardware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022"/>
        <w:gridCol w:w="3022"/>
        <w:gridCol w:w="3022"/>
      </w:tblGrid>
      <w:tr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No.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Item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Notes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1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QYTS-3000-BG-T-S</w:t>
            </w:r>
            <w:r>
              <w:rPr>
                <w:rFonts w:ascii="Calibri" w:hAnsi="Calibri" w:eastAsia="Calibri"/>
                <w:b w:val="0"/>
                <w:sz w:val="20"/>
              </w:rPr>
              <w:t xml:space="preserve"> time server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Ethernet, RS-485, 1PPS, IRIG (this SKU)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2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GNSS antenna &amp; cable (per contract)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Outdoor, clear sky view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3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Power (single path `-S`, per contract / nameplate)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One inlet at a time</w:t>
            </w:r>
            <w:r>
              <w:rPr>
                <w:rFonts w:ascii="Calibri" w:hAnsi="Calibri" w:eastAsia="Calibri"/>
                <w:b w:val="0"/>
                <w:sz w:val="20"/>
              </w:rPr>
              <w:t xml:space="preserve">: (1) </w:t>
            </w:r>
            <w:r>
              <w:rPr>
                <w:rFonts w:ascii="Calibri" w:hAnsi="Calibri" w:eastAsia="Calibri"/>
                <w:b/>
                <w:sz w:val="20"/>
              </w:rPr>
              <w:t>AC 220 V</w:t>
            </w:r>
            <w:r>
              <w:rPr>
                <w:rFonts w:ascii="Calibri" w:hAnsi="Calibri" w:eastAsia="Calibri"/>
                <w:b w:val="0"/>
                <w:sz w:val="20"/>
              </w:rPr>
              <w:t xml:space="preserve"> IEC 3-pin (onboard AC module); or (2) </w:t>
            </w:r>
            <w:r>
              <w:rPr>
                <w:rFonts w:ascii="Calibri" w:hAnsi="Calibri" w:eastAsia="Calibri"/>
                <w:b/>
                <w:sz w:val="20"/>
              </w:rPr>
              <w:t>DC-IN (DC050-T)</w:t>
            </w:r>
            <w:r>
              <w:rPr>
                <w:rFonts w:ascii="Calibri" w:hAnsi="Calibri" w:eastAsia="Calibri"/>
                <w:b w:val="0"/>
                <w:sz w:val="20"/>
              </w:rPr>
              <w:t xml:space="preserve"> + external adapter (</w:t>
            </w:r>
            <w:r>
              <w:rPr>
                <w:rFonts w:ascii="Calibri" w:hAnsi="Calibri" w:eastAsia="Calibri"/>
                <w:b/>
                <w:sz w:val="20"/>
              </w:rPr>
              <w:t>12–24 V DC</w:t>
            </w:r>
            <w:r>
              <w:rPr>
                <w:rFonts w:ascii="Calibri" w:hAnsi="Calibri" w:eastAsia="Calibri"/>
                <w:b w:val="0"/>
                <w:sz w:val="20"/>
              </w:rPr>
              <w:t>). Never both; not dual-redundant `-D`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4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Shipping documents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User guide, spec, protocol, wiring pack</w:t>
            </w:r>
          </w:p>
        </w:tc>
      </w:tr>
    </w:tbl>
    <w:p/>
    <w:p>
      <w:r>
        <w:rPr>
          <w:rFonts w:ascii="Calibri" w:hAnsi="Calibri" w:eastAsia="Calibri"/>
          <w:b w:val="0"/>
          <w:sz w:val="22"/>
        </w:rPr>
        <w:t>Cabinet, switches, client software, and PLC engineering are by others unless contracted.</w:t>
      </w:r>
    </w:p>
    <w:p>
      <w:pPr>
        <w:pStyle w:val="Heading2"/>
        <w:spacing w:before="200" w:after="80"/>
      </w:pPr>
      <w:r>
        <w:rPr>
          <w:rFonts w:ascii="Calibri" w:hAnsi="Calibri" w:eastAsia="Calibri"/>
          <w:b/>
          <w:sz w:val="24"/>
        </w:rPr>
        <w:t>3.2 Firmware / Software</w:t>
      </w:r>
    </w:p>
    <w:p>
      <w:pPr>
        <w:pStyle w:val="ListBullet"/>
      </w:pPr>
      <w:r>
        <w:rPr>
          <w:rFonts w:ascii="Calibri" w:hAnsi="Calibri" w:eastAsia="Calibri"/>
          <w:b w:val="0"/>
          <w:sz w:val="22"/>
        </w:rPr>
        <w:t>Factory firmware (version per nameplate / Web)</w:t>
      </w:r>
    </w:p>
    <w:p>
      <w:pPr>
        <w:pStyle w:val="ListBullet"/>
      </w:pPr>
      <w:r>
        <w:rPr>
          <w:rFonts w:ascii="Calibri" w:hAnsi="Calibri" w:eastAsia="Calibri"/>
          <w:b w:val="0"/>
          <w:sz w:val="22"/>
        </w:rPr>
        <w:t>Built-in HTTP UI (Basic Auth)</w:t>
      </w:r>
    </w:p>
    <w:p>
      <w:pPr>
        <w:pStyle w:val="ListBullet"/>
      </w:pPr>
      <w:r>
        <w:rPr>
          <w:rFonts w:ascii="Calibri" w:hAnsi="Calibri" w:eastAsia="Calibri"/>
          <w:b w:val="0"/>
          <w:sz w:val="22"/>
        </w:rPr>
        <w:t>NTP at boot; Modbus / 1PPS / IRIG per SKU</w:t>
      </w:r>
    </w:p>
    <w:p/>
    <w:p>
      <w:pPr>
        <w:pStyle w:val="Heading1"/>
        <w:spacing w:before="240" w:after="120"/>
      </w:pPr>
      <w:r>
        <w:rPr>
          <w:rFonts w:ascii="Calibri" w:hAnsi="Calibri" w:eastAsia="Calibri"/>
          <w:b/>
          <w:sz w:val="28"/>
        </w:rPr>
        <w:t>4. Key Technical Responses</w:t>
      </w:r>
    </w:p>
    <w:p>
      <w:pPr>
        <w:pStyle w:val="Heading2"/>
        <w:spacing w:before="200" w:after="80"/>
      </w:pPr>
      <w:r>
        <w:rPr>
          <w:rFonts w:ascii="Calibri" w:hAnsi="Calibri" w:eastAsia="Calibri"/>
          <w:b/>
          <w:sz w:val="24"/>
        </w:rPr>
        <w:t>4.1 Basics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Common tender item</w:t>
            </w:r>
          </w:p>
        </w:tc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Response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Product class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GNSS-disciplined LAN NTP time server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Model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QYTS-3000-BG-T-S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Constellation / Osc / Power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BG</w:t>
            </w:r>
            <w:r>
              <w:rPr>
                <w:rFonts w:ascii="Calibri" w:hAnsi="Calibri" w:eastAsia="Calibri"/>
                <w:b w:val="0"/>
                <w:sz w:val="20"/>
              </w:rPr>
              <w:t xml:space="preserve"> (BeiDou+GPS) / </w:t>
            </w:r>
            <w:r>
              <w:rPr>
                <w:rFonts w:ascii="Calibri" w:hAnsi="Calibri" w:eastAsia="Calibri"/>
                <w:b/>
                <w:sz w:val="20"/>
              </w:rPr>
              <w:t>T</w:t>
            </w:r>
            <w:r>
              <w:rPr>
                <w:rFonts w:ascii="Calibri" w:hAnsi="Calibri" w:eastAsia="Calibri"/>
                <w:b w:val="0"/>
                <w:sz w:val="20"/>
              </w:rPr>
              <w:t xml:space="preserve"> (TCXO) / </w:t>
            </w:r>
            <w:r>
              <w:rPr>
                <w:rFonts w:ascii="Calibri" w:hAnsi="Calibri" w:eastAsia="Calibri"/>
                <w:b/>
                <w:sz w:val="20"/>
              </w:rPr>
              <w:t>S</w:t>
            </w:r>
            <w:r>
              <w:rPr>
                <w:rFonts w:ascii="Calibri" w:hAnsi="Calibri" w:eastAsia="Calibri"/>
                <w:b w:val="0"/>
                <w:sz w:val="20"/>
              </w:rPr>
              <w:t xml:space="preserve"> (single supply)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Protocol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 xml:space="preserve">NTP v3/v4, UDP </w:t>
            </w:r>
            <w:r>
              <w:rPr>
                <w:rFonts w:ascii="Calibri" w:hAnsi="Calibri" w:eastAsia="Calibri"/>
                <w:b/>
                <w:sz w:val="20"/>
              </w:rPr>
              <w:t>123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Network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1×</w:t>
            </w:r>
            <w:r>
              <w:rPr>
                <w:rFonts w:ascii="Calibri" w:hAnsi="Calibri" w:eastAsia="Calibri"/>
                <w:b w:val="0"/>
                <w:sz w:val="20"/>
              </w:rPr>
              <w:t xml:space="preserve"> RJ45, 10/100M (single port; not dual-port HA)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Default IP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192.168.1.123/24, gw 192.168.1.1 (configurable)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Management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Web + front LCD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Time reference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GNSS 1PPS + TCXO discipline; industrial RTC (temp-compensated) / SQW holdover</w:t>
            </w:r>
          </w:p>
        </w:tc>
      </w:tr>
    </w:tbl>
    <w:p/>
    <w:p>
      <w:pPr>
        <w:pStyle w:val="Heading2"/>
        <w:spacing w:before="200" w:after="80"/>
      </w:pPr>
      <w:r>
        <w:rPr>
          <w:rFonts w:ascii="Calibri" w:hAnsi="Calibri" w:eastAsia="Calibri"/>
          <w:b/>
          <w:sz w:val="24"/>
        </w:rPr>
        <w:t>4.2 Accuracy (Per Channel, after LOCK)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022"/>
        <w:gridCol w:w="3022"/>
        <w:gridCol w:w="3022"/>
      </w:tblGrid>
      <w:tr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Channel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Typical claim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Acceptance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Internal / GNSS 1PPS reference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 xml:space="preserve">Module short-term stability typically ≤ </w:t>
            </w:r>
            <w:r>
              <w:rPr>
                <w:rFonts w:ascii="Calibri" w:hAnsi="Calibri" w:eastAsia="Calibri"/>
                <w:b/>
                <w:sz w:val="20"/>
              </w:rPr>
              <w:t>10 ns RMS</w:t>
            </w:r>
            <w:r>
              <w:rPr>
                <w:rFonts w:ascii="Calibri" w:hAnsi="Calibri" w:eastAsia="Calibri"/>
                <w:b w:val="0"/>
                <w:sz w:val="20"/>
              </w:rPr>
              <w:t xml:space="preserve">; internal jitter monitor typically ≤ </w:t>
            </w:r>
            <w:r>
              <w:rPr>
                <w:rFonts w:ascii="Calibri" w:hAnsi="Calibri" w:eastAsia="Calibri"/>
                <w:b/>
                <w:sz w:val="20"/>
              </w:rPr>
              <w:t>50 ns</w:t>
            </w:r>
            <w:r>
              <w:rPr>
                <w:rFonts w:ascii="Calibri" w:hAnsi="Calibri" w:eastAsia="Calibri"/>
                <w:b w:val="0"/>
                <w:sz w:val="20"/>
              </w:rPr>
              <w:t xml:space="preserve"> (short window)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Lab / factory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TTL 1PPS out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Sub-µs edge vs internal PPS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Scope / TIC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RS-485 Modbus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1 ms</w:t>
            </w:r>
            <w:r>
              <w:rPr>
                <w:rFonts w:ascii="Calibri" w:hAnsi="Calibri" w:eastAsia="Calibri"/>
                <w:b w:val="0"/>
                <w:sz w:val="20"/>
              </w:rPr>
              <w:t xml:space="preserve"> resolution (UTC incl. ms)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PLC register compare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Ethernet NTP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 xml:space="preserve">Typical LAN </w:t>
            </w:r>
            <w:r>
              <w:rPr>
                <w:rFonts w:ascii="Calibri" w:hAnsi="Calibri" w:eastAsia="Calibri"/>
                <w:b/>
                <w:sz w:val="20"/>
              </w:rPr>
              <w:t>millisecond</w:t>
            </w:r>
            <w:r>
              <w:rPr>
                <w:rFonts w:ascii="Calibri" w:hAnsi="Calibri" w:eastAsia="Calibri"/>
                <w:b w:val="0"/>
                <w:sz w:val="20"/>
              </w:rPr>
              <w:t xml:space="preserve"> class (measure at client)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ntpq / chronyc / client logs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Holdover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Continues after brief GNSS loss; error grows with time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Antenna-pull soak</w:t>
            </w:r>
          </w:p>
        </w:tc>
      </w:tr>
    </w:tbl>
    <w:p/>
    <w:p>
      <w:pPr>
        <w:spacing w:before="80" w:after="80"/>
        <w:ind w:left="454"/>
      </w:pPr>
      <w:r>
        <w:rPr>
          <w:rFonts w:ascii="Calibri" w:hAnsi="Calibri" w:eastAsia="Calibri"/>
          <w:b/>
          <w:i/>
          <w:color w:val="444444"/>
          <w:sz w:val="20"/>
        </w:rPr>
        <w:t>Contract note:</w:t>
      </w:r>
      <w:r>
        <w:rPr>
          <w:rFonts w:ascii="Calibri" w:hAnsi="Calibri" w:eastAsia="Calibri"/>
          <w:b w:val="0"/>
          <w:i/>
          <w:color w:val="444444"/>
          <w:sz w:val="20"/>
        </w:rPr>
        <w:t xml:space="preserve"> Internal “10 ns RMS” </w:t>
      </w:r>
      <w:r>
        <w:rPr>
          <w:rFonts w:ascii="Calibri" w:hAnsi="Calibri" w:eastAsia="Calibri"/>
          <w:b/>
          <w:i/>
          <w:color w:val="444444"/>
          <w:sz w:val="20"/>
        </w:rPr>
        <w:t>must not</w:t>
      </w:r>
      <w:r>
        <w:rPr>
          <w:rFonts w:ascii="Calibri" w:hAnsi="Calibri" w:eastAsia="Calibri"/>
          <w:b w:val="0"/>
          <w:i/>
          <w:color w:val="444444"/>
          <w:sz w:val="20"/>
        </w:rPr>
        <w:t xml:space="preserve"> be equated to “10 ns NTP at the client” or “nanosecond Modbus.” Specify acceptance </w:t>
      </w:r>
      <w:r>
        <w:rPr>
          <w:rFonts w:ascii="Calibri" w:hAnsi="Calibri" w:eastAsia="Calibri"/>
          <w:b/>
          <w:i/>
          <w:color w:val="444444"/>
          <w:sz w:val="20"/>
        </w:rPr>
        <w:t>per interface</w:t>
      </w:r>
      <w:r>
        <w:rPr>
          <w:rFonts w:ascii="Calibri" w:hAnsi="Calibri" w:eastAsia="Calibri"/>
          <w:b w:val="0"/>
          <w:i/>
          <w:color w:val="444444"/>
          <w:sz w:val="20"/>
        </w:rPr>
        <w:t>.</w:t>
      </w:r>
    </w:p>
    <w:p>
      <w:pPr>
        <w:pStyle w:val="Heading2"/>
        <w:spacing w:before="200" w:after="80"/>
      </w:pPr>
      <w:r>
        <w:rPr>
          <w:rFonts w:ascii="Calibri" w:hAnsi="Calibri" w:eastAsia="Calibri"/>
          <w:b/>
          <w:sz w:val="24"/>
        </w:rPr>
        <w:t>4.3 NTP Capacity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Item</w:t>
            </w:r>
          </w:p>
        </w:tc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Response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Role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 xml:space="preserve">NTP server; typically </w:t>
            </w:r>
            <w:r>
              <w:rPr>
                <w:rFonts w:ascii="Calibri" w:hAnsi="Calibri" w:eastAsia="Calibri"/>
                <w:b/>
                <w:sz w:val="20"/>
              </w:rPr>
              <w:t>Stratum 1</w:t>
            </w:r>
            <w:r>
              <w:rPr>
                <w:rFonts w:ascii="Calibri" w:hAnsi="Calibri" w:eastAsia="Calibri"/>
                <w:b w:val="0"/>
                <w:sz w:val="20"/>
              </w:rPr>
              <w:t xml:space="preserve"> after LOCK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Recommended clients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 xml:space="preserve">≤ </w:t>
            </w:r>
            <w:r>
              <w:rPr>
                <w:rFonts w:ascii="Calibri" w:hAnsi="Calibri" w:eastAsia="Calibri"/>
                <w:b/>
                <w:sz w:val="20"/>
              </w:rPr>
              <w:t>60</w:t>
            </w:r>
            <w:r>
              <w:rPr>
                <w:rFonts w:ascii="Calibri" w:hAnsi="Calibri" w:eastAsia="Calibri"/>
                <w:b w:val="0"/>
                <w:sz w:val="20"/>
              </w:rPr>
              <w:t xml:space="preserve"> on LAN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Global replies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Adaptive</w:t>
            </w:r>
            <w:r>
              <w:rPr>
                <w:rFonts w:ascii="Calibri" w:hAnsi="Calibri" w:eastAsia="Calibri"/>
                <w:b w:val="0"/>
                <w:sz w:val="20"/>
              </w:rPr>
              <w:t xml:space="preserve"> rate limit; overload protect ≈ ≤ </w:t>
            </w:r>
            <w:r>
              <w:rPr>
                <w:rFonts w:ascii="Calibri" w:hAnsi="Calibri" w:eastAsia="Calibri"/>
                <w:b/>
                <w:sz w:val="20"/>
              </w:rPr>
              <w:t>1024</w:t>
            </w:r>
            <w:r>
              <w:rPr>
                <w:rFonts w:ascii="Calibri" w:hAnsi="Calibri" w:eastAsia="Calibri"/>
                <w:b w:val="0"/>
                <w:sz w:val="20"/>
              </w:rPr>
              <w:t>/s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Per-source IP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 xml:space="preserve">≤ </w:t>
            </w:r>
            <w:r>
              <w:rPr>
                <w:rFonts w:ascii="Calibri" w:hAnsi="Calibri" w:eastAsia="Calibri"/>
                <w:b/>
                <w:sz w:val="20"/>
              </w:rPr>
              <w:t>8</w:t>
            </w:r>
            <w:r>
              <w:rPr>
                <w:rFonts w:ascii="Calibri" w:hAnsi="Calibri" w:eastAsia="Calibri"/>
                <w:b w:val="0"/>
                <w:sz w:val="20"/>
              </w:rPr>
              <w:t>/s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ACL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Optional NTP source whitelist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Warm-up policy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Optional Stratum-2 transitional replies via Web policy (factory default: reply when locked)</w:t>
            </w:r>
          </w:p>
        </w:tc>
      </w:tr>
    </w:tbl>
    <w:p/>
    <w:p>
      <w:pPr>
        <w:pStyle w:val="Heading2"/>
        <w:spacing w:before="200" w:after="80"/>
      </w:pPr>
      <w:r>
        <w:rPr>
          <w:rFonts w:ascii="Calibri" w:hAnsi="Calibri" w:eastAsia="Calibri"/>
          <w:b/>
          <w:sz w:val="24"/>
        </w:rPr>
        <w:t>4.4 Industrial Interfaces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Interface</w:t>
            </w:r>
          </w:p>
        </w:tc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Response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RS-485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 xml:space="preserve">Modbus RTU slave, </w:t>
            </w:r>
            <w:r>
              <w:rPr>
                <w:rFonts w:ascii="Calibri" w:hAnsi="Calibri" w:eastAsia="Calibri"/>
                <w:b/>
                <w:sz w:val="20"/>
              </w:rPr>
              <w:t>9600 8N1</w:t>
            </w:r>
            <w:r>
              <w:rPr>
                <w:rFonts w:ascii="Calibri" w:hAnsi="Calibri" w:eastAsia="Calibri"/>
                <w:b w:val="0"/>
                <w:sz w:val="20"/>
              </w:rPr>
              <w:t xml:space="preserve">, ID </w:t>
            </w:r>
            <w:r>
              <w:rPr>
                <w:rFonts w:ascii="Calibri" w:hAnsi="Calibri" w:eastAsia="Calibri"/>
                <w:b/>
                <w:sz w:val="20"/>
              </w:rPr>
              <w:t>0x01</w:t>
            </w:r>
            <w:r>
              <w:rPr>
                <w:rFonts w:ascii="Calibri" w:hAnsi="Calibri" w:eastAsia="Calibri"/>
                <w:b w:val="0"/>
                <w:sz w:val="20"/>
              </w:rPr>
              <w:t>; FC 0x03/0x04; UTC with ms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1PPS OUT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TTL second pulse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IRIG-B120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DCLS, aligned to PPS second (this SKU)</w:t>
            </w:r>
          </w:p>
        </w:tc>
      </w:tr>
    </w:tbl>
    <w:p/>
    <w:p>
      <w:r>
        <w:rPr>
          <w:rFonts w:ascii="Calibri" w:hAnsi="Calibri" w:eastAsia="Calibri"/>
          <w:b w:val="0"/>
          <w:sz w:val="22"/>
        </w:rPr>
        <w:t>Register map and bring-up: Industrial Interface Protocol.</w:t>
      </w:r>
    </w:p>
    <w:p>
      <w:pPr>
        <w:pStyle w:val="Heading2"/>
        <w:spacing w:before="200" w:after="80"/>
      </w:pPr>
      <w:r>
        <w:rPr>
          <w:rFonts w:ascii="Calibri" w:hAnsi="Calibri" w:eastAsia="Calibri"/>
          <w:b/>
          <w:sz w:val="24"/>
        </w:rPr>
        <w:t>4.5 Management &amp; Logs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Item</w:t>
            </w:r>
          </w:p>
        </w:tc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Response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Web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Dashboard / Network; HTTP Basic Auth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SNMP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Read-only</w:t>
            </w:r>
            <w:r>
              <w:rPr>
                <w:rFonts w:ascii="Calibri" w:hAnsi="Calibri" w:eastAsia="Calibri"/>
                <w:b w:val="0"/>
                <w:sz w:val="20"/>
              </w:rPr>
              <w:t xml:space="preserve"> SNMPv2c / UDP </w:t>
            </w:r>
            <w:r>
              <w:rPr>
                <w:rFonts w:ascii="Calibri" w:hAnsi="Calibri" w:eastAsia="Calibri"/>
                <w:b/>
                <w:sz w:val="20"/>
              </w:rPr>
              <w:t>161</w:t>
            </w:r>
            <w:r>
              <w:rPr>
                <w:rFonts w:ascii="Calibri" w:hAnsi="Calibri" w:eastAsia="Calibri"/>
                <w:b w:val="0"/>
                <w:sz w:val="20"/>
              </w:rPr>
              <w:t xml:space="preserve"> (b140+); </w:t>
            </w:r>
            <w:r>
              <w:rPr>
                <w:rFonts w:ascii="Calibri" w:hAnsi="Calibri" w:eastAsia="Calibri"/>
                <w:b/>
                <w:sz w:val="20"/>
              </w:rPr>
              <w:t>no</w:t>
            </w:r>
            <w:r>
              <w:rPr>
                <w:rFonts w:ascii="Calibri" w:hAnsi="Calibri" w:eastAsia="Calibri"/>
                <w:b w:val="0"/>
                <w:sz w:val="20"/>
              </w:rPr>
              <w:t xml:space="preserve"> HTTPS / SNMPv3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Event log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`event_log.csv` (~2048-entry ring; default export ~latest 1024); Dashboard → Diagnostics → Export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24h quality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`quality_24h.csv`; hourly rows; `samples=0` = no GNSS-disciplined samples that hour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LCD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Inspection / decision / diagnosis / asset pages</w:t>
            </w:r>
          </w:p>
        </w:tc>
      </w:tr>
    </w:tbl>
    <w:p/>
    <w:p>
      <w:pPr>
        <w:pStyle w:val="Heading2"/>
        <w:spacing w:before="200" w:after="80"/>
      </w:pPr>
      <w:r>
        <w:rPr>
          <w:rFonts w:ascii="Calibri" w:hAnsi="Calibri" w:eastAsia="Calibri"/>
          <w:b/>
          <w:sz w:val="24"/>
        </w:rPr>
        <w:t>4.6 Explicit Exclusions</w:t>
      </w:r>
    </w:p>
    <w:p>
      <w:r>
        <w:rPr>
          <w:rFonts w:ascii="Calibri" w:hAnsi="Calibri" w:eastAsia="Calibri"/>
          <w:b w:val="0"/>
          <w:sz w:val="22"/>
        </w:rPr>
        <w:t>Not in standard scope (unless a separate solution is bid):</w:t>
      </w:r>
    </w:p>
    <w:p>
      <w:pPr>
        <w:pStyle w:val="ListBullet"/>
      </w:pPr>
      <w:r>
        <w:rPr>
          <w:rFonts w:ascii="Calibri" w:hAnsi="Calibri" w:eastAsia="Calibri"/>
          <w:b w:val="0"/>
          <w:sz w:val="22"/>
        </w:rPr>
        <w:t>PTP / IEEE 1588 and plant-wide sub-µs Ethernet timing</w:t>
      </w:r>
    </w:p>
    <w:p>
      <w:pPr>
        <w:pStyle w:val="ListBullet"/>
      </w:pPr>
      <w:r>
        <w:rPr>
          <w:rFonts w:ascii="Calibri" w:hAnsi="Calibri" w:eastAsia="Calibri"/>
          <w:b w:val="0"/>
          <w:sz w:val="22"/>
        </w:rPr>
        <w:t>NTS, IPv6, NTP broadcast/multicast server</w:t>
      </w:r>
    </w:p>
    <w:p>
      <w:pPr>
        <w:pStyle w:val="ListBullet"/>
      </w:pPr>
      <w:r>
        <w:rPr>
          <w:rFonts w:ascii="Calibri" w:hAnsi="Calibri" w:eastAsia="Calibri"/>
          <w:b w:val="0"/>
          <w:sz w:val="22"/>
        </w:rPr>
        <w:t>Dual Ethernet redundancy / failover</w:t>
      </w:r>
    </w:p>
    <w:p>
      <w:pPr>
        <w:pStyle w:val="ListBullet"/>
      </w:pPr>
      <w:r>
        <w:rPr>
          <w:rFonts w:ascii="Calibri" w:hAnsi="Calibri" w:eastAsia="Calibri"/>
          <w:b w:val="0"/>
          <w:sz w:val="22"/>
        </w:rPr>
        <w:t>Nanosecond fieldbus timing</w:t>
      </w:r>
    </w:p>
    <w:p>
      <w:pPr>
        <w:pStyle w:val="ListBullet"/>
      </w:pPr>
      <w:r>
        <w:rPr>
          <w:rFonts w:ascii="Calibri" w:hAnsi="Calibri" w:eastAsia="Calibri"/>
          <w:b/>
          <w:sz w:val="22"/>
        </w:rPr>
        <w:t>HTTPS</w:t>
      </w:r>
      <w:r>
        <w:rPr>
          <w:rFonts w:ascii="Calibri" w:hAnsi="Calibri" w:eastAsia="Calibri"/>
          <w:b w:val="0"/>
          <w:sz w:val="22"/>
        </w:rPr>
        <w:t xml:space="preserve">, SNMPv3, SNMP write (on-device SNMP is v2c </w:t>
      </w:r>
      <w:r>
        <w:rPr>
          <w:rFonts w:ascii="Calibri" w:hAnsi="Calibri" w:eastAsia="Calibri"/>
          <w:b/>
          <w:sz w:val="22"/>
        </w:rPr>
        <w:t>read-only</w:t>
      </w:r>
      <w:r>
        <w:rPr>
          <w:rFonts w:ascii="Calibri" w:hAnsi="Calibri" w:eastAsia="Calibri"/>
          <w:b w:val="0"/>
          <w:sz w:val="22"/>
        </w:rPr>
        <w:t xml:space="preserve"> only)</w:t>
      </w:r>
    </w:p>
    <w:p/>
    <w:p>
      <w:pPr>
        <w:pStyle w:val="Heading1"/>
        <w:spacing w:before="240" w:after="120"/>
      </w:pPr>
      <w:r>
        <w:rPr>
          <w:rFonts w:ascii="Calibri" w:hAnsi="Calibri" w:eastAsia="Calibri"/>
          <w:b/>
          <w:sz w:val="28"/>
        </w:rPr>
        <w:t>5. Integration Outline</w:t>
      </w:r>
    </w:p>
    <w:p>
      <w:pPr>
        <w:pStyle w:val="Heading2"/>
        <w:spacing w:before="200" w:after="80"/>
      </w:pPr>
      <w:r>
        <w:rPr>
          <w:rFonts w:ascii="Calibri" w:hAnsi="Calibri" w:eastAsia="Calibri"/>
          <w:b/>
          <w:sz w:val="24"/>
        </w:rPr>
        <w:t>5.1 IT (Network)</w:t>
      </w:r>
    </w:p>
    <w:p>
      <w:pPr>
        <w:pStyle w:val="ListNumber"/>
      </w:pPr>
      <w:r>
        <w:rPr>
          <w:rFonts w:ascii="Calibri" w:hAnsi="Calibri" w:eastAsia="Calibri"/>
          <w:b w:val="0"/>
          <w:sz w:val="22"/>
        </w:rPr>
        <w:t>Connect to LAN (prefer management VLAN).</w:t>
      </w:r>
    </w:p>
    <w:p>
      <w:pPr>
        <w:pStyle w:val="ListNumber"/>
      </w:pPr>
      <w:r>
        <w:rPr>
          <w:rFonts w:ascii="Calibri" w:hAnsi="Calibri" w:eastAsia="Calibri"/>
          <w:b w:val="0"/>
          <w:sz w:val="22"/>
        </w:rPr>
        <w:t xml:space="preserve">Set static IP; ensure UDP </w:t>
      </w:r>
      <w:r>
        <w:rPr>
          <w:rFonts w:ascii="Calibri" w:hAnsi="Calibri" w:eastAsia="Calibri"/>
          <w:b/>
          <w:sz w:val="22"/>
        </w:rPr>
        <w:t>123</w:t>
      </w:r>
      <w:r>
        <w:rPr>
          <w:rFonts w:ascii="Calibri" w:hAnsi="Calibri" w:eastAsia="Calibri"/>
          <w:b w:val="0"/>
          <w:sz w:val="22"/>
        </w:rPr>
        <w:t xml:space="preserve"> reachability.</w:t>
      </w:r>
    </w:p>
    <w:p>
      <w:pPr>
        <w:pStyle w:val="ListNumber"/>
      </w:pPr>
      <w:r>
        <w:rPr>
          <w:rFonts w:ascii="Calibri" w:hAnsi="Calibri" w:eastAsia="Calibri"/>
          <w:b w:val="0"/>
          <w:sz w:val="22"/>
        </w:rPr>
        <w:t>Point clients to device IP (`iburst` recommended).</w:t>
      </w:r>
    </w:p>
    <w:p>
      <w:pPr>
        <w:pStyle w:val="ListNumber"/>
      </w:pPr>
      <w:r>
        <w:rPr>
          <w:rFonts w:ascii="Calibri" w:hAnsi="Calibri" w:eastAsia="Calibri"/>
          <w:b w:val="0"/>
          <w:sz w:val="22"/>
        </w:rPr>
        <w:t>Optional NTP source whitelist.</w:t>
      </w:r>
    </w:p>
    <w:p>
      <w:pPr>
        <w:pStyle w:val="Heading2"/>
        <w:spacing w:before="200" w:after="80"/>
      </w:pPr>
      <w:r>
        <w:rPr>
          <w:rFonts w:ascii="Calibri" w:hAnsi="Calibri" w:eastAsia="Calibri"/>
          <w:b/>
          <w:sz w:val="24"/>
        </w:rPr>
        <w:t>5.2 OT (Industrial)</w:t>
      </w:r>
    </w:p>
    <w:p>
      <w:pPr>
        <w:pStyle w:val="ListNumber"/>
      </w:pPr>
      <w:r>
        <w:rPr>
          <w:rFonts w:ascii="Calibri" w:hAnsi="Calibri" w:eastAsia="Calibri"/>
          <w:b w:val="0"/>
          <w:sz w:val="22"/>
        </w:rPr>
        <w:t>RS-485 wiring per practice (120 Ω termination, common ground).</w:t>
      </w:r>
    </w:p>
    <w:p>
      <w:pPr>
        <w:pStyle w:val="ListNumber"/>
      </w:pPr>
      <w:r>
        <w:rPr>
          <w:rFonts w:ascii="Calibri" w:hAnsi="Calibri" w:eastAsia="Calibri"/>
          <w:b w:val="0"/>
          <w:sz w:val="22"/>
        </w:rPr>
        <w:t>PLC/SCADA poll calendar registers (suggest ≥ 1 Hz) via FC03.</w:t>
      </w:r>
    </w:p>
    <w:p>
      <w:pPr>
        <w:pStyle w:val="ListNumber"/>
      </w:pPr>
      <w:r>
        <w:rPr>
          <w:rFonts w:ascii="Calibri" w:hAnsi="Calibri" w:eastAsia="Calibri"/>
          <w:b w:val="0"/>
          <w:sz w:val="22"/>
        </w:rPr>
        <w:t>Edge sync → TTL 1PPS; legacy timecode → IRIG-B120.</w:t>
      </w:r>
    </w:p>
    <w:p>
      <w:pPr>
        <w:pStyle w:val="Heading2"/>
        <w:spacing w:before="200" w:after="80"/>
      </w:pPr>
      <w:r>
        <w:rPr>
          <w:rFonts w:ascii="Calibri" w:hAnsi="Calibri" w:eastAsia="Calibri"/>
          <w:b/>
          <w:sz w:val="24"/>
        </w:rPr>
        <w:t>5.3 Antenna</w:t>
      </w:r>
    </w:p>
    <w:p>
      <w:r>
        <w:rPr>
          <w:rFonts w:ascii="Calibri" w:hAnsi="Calibri" w:eastAsia="Calibri"/>
          <w:b w:val="0"/>
          <w:sz w:val="22"/>
        </w:rPr>
        <w:t>Outdoor clear sky; quality feedline; treat LOCK as prerequisite for official timing use.</w:t>
      </w:r>
    </w:p>
    <w:p>
      <w:pPr>
        <w:pStyle w:val="Heading2"/>
        <w:spacing w:before="200" w:after="80"/>
      </w:pPr>
      <w:r>
        <w:rPr>
          <w:rFonts w:ascii="Calibri" w:hAnsi="Calibri" w:eastAsia="Calibri"/>
          <w:b/>
          <w:sz w:val="24"/>
        </w:rPr>
        <w:t>5.4 Responsibility Split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Party</w:t>
            </w:r>
          </w:p>
        </w:tc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Scope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Bidder (supply)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Device, factory config, docs, training (per contract)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Integrator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Rack power, network design, PLC, bulk client config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End user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Patrol, antenna care, accounts / ACL</w:t>
            </w:r>
          </w:p>
        </w:tc>
      </w:tr>
    </w:tbl>
    <w:p/>
    <w:p/>
    <w:p>
      <w:pPr>
        <w:pStyle w:val="Heading1"/>
        <w:spacing w:before="240" w:after="120"/>
      </w:pPr>
      <w:r>
        <w:rPr>
          <w:rFonts w:ascii="Calibri" w:hAnsi="Calibri" w:eastAsia="Calibri"/>
          <w:b/>
          <w:sz w:val="28"/>
        </w:rPr>
        <w:t>6. Suggested Acceptance</w:t>
      </w:r>
    </w:p>
    <w:p>
      <w:pPr>
        <w:pStyle w:val="Heading2"/>
        <w:spacing w:before="200" w:after="80"/>
      </w:pPr>
      <w:r>
        <w:rPr>
          <w:rFonts w:ascii="Calibri" w:hAnsi="Calibri" w:eastAsia="Calibri"/>
          <w:b/>
          <w:sz w:val="24"/>
        </w:rPr>
        <w:t>6.1 Incoming</w:t>
      </w:r>
    </w:p>
    <w:p>
      <w:r>
        <w:rPr>
          <w:rFonts w:ascii="Calibri" w:hAnsi="Calibri" w:eastAsia="Calibri"/>
          <w:b w:val="0"/>
          <w:sz w:val="22"/>
        </w:rPr>
        <w:t>Model, SETID, firmware Build vs packing list; power-on Web/LCD; SN visible.</w:t>
      </w:r>
    </w:p>
    <w:p>
      <w:pPr>
        <w:pStyle w:val="Heading2"/>
        <w:spacing w:before="200" w:after="80"/>
      </w:pPr>
      <w:r>
        <w:rPr>
          <w:rFonts w:ascii="Calibri" w:hAnsi="Calibri" w:eastAsia="Calibri"/>
          <w:b/>
          <w:sz w:val="24"/>
        </w:rPr>
        <w:t>6.2 Functional (suggested)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6"/>
        <w:gridCol w:w="2266"/>
        <w:gridCol w:w="2266"/>
        <w:gridCol w:w="2266"/>
      </w:tblGrid>
      <w:tr>
        <w:tc>
          <w:tcPr>
            <w:tcW w:type="dxa" w:w="2266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No.</w:t>
            </w:r>
          </w:p>
        </w:tc>
        <w:tc>
          <w:tcPr>
            <w:tcW w:type="dxa" w:w="2266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Item</w:t>
            </w:r>
          </w:p>
        </w:tc>
        <w:tc>
          <w:tcPr>
            <w:tcW w:type="dxa" w:w="2266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Method</w:t>
            </w:r>
          </w:p>
        </w:tc>
        <w:tc>
          <w:tcPr>
            <w:tcW w:type="dxa" w:w="2266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Pass (suggested)</w:t>
            </w:r>
          </w:p>
        </w:tc>
      </w:tr>
      <w:tr>
        <w:tc>
          <w:tcPr>
            <w:tcW w:type="dxa" w:w="2266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1</w:t>
            </w:r>
          </w:p>
        </w:tc>
        <w:tc>
          <w:tcPr>
            <w:tcW w:type="dxa" w:w="2266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GNSS lock</w:t>
            </w:r>
          </w:p>
        </w:tc>
        <w:tc>
          <w:tcPr>
            <w:tcW w:type="dxa" w:w="2266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Antenna OK; LCD/Web</w:t>
            </w:r>
          </w:p>
        </w:tc>
        <w:tc>
          <w:tcPr>
            <w:tcW w:type="dxa" w:w="2266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LOCK / Stratum 1</w:t>
            </w:r>
          </w:p>
        </w:tc>
      </w:tr>
      <w:tr>
        <w:tc>
          <w:tcPr>
            <w:tcW w:type="dxa" w:w="2266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2</w:t>
            </w:r>
          </w:p>
        </w:tc>
        <w:tc>
          <w:tcPr>
            <w:tcW w:type="dxa" w:w="2266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NTP</w:t>
            </w:r>
          </w:p>
        </w:tc>
        <w:tc>
          <w:tcPr>
            <w:tcW w:type="dxa" w:w="2266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Same-subnet client</w:t>
            </w:r>
          </w:p>
        </w:tc>
        <w:tc>
          <w:tcPr>
            <w:tcW w:type="dxa" w:w="2266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Stable ms-class offset (site network dependent)</w:t>
            </w:r>
          </w:p>
        </w:tc>
      </w:tr>
      <w:tr>
        <w:tc>
          <w:tcPr>
            <w:tcW w:type="dxa" w:w="2266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3</w:t>
            </w:r>
          </w:p>
        </w:tc>
        <w:tc>
          <w:tcPr>
            <w:tcW w:type="dxa" w:w="2266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Modbus</w:t>
            </w:r>
          </w:p>
        </w:tc>
        <w:tc>
          <w:tcPr>
            <w:tcW w:type="dxa" w:w="2266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Master reads Y/M/D h:m:s.ms</w:t>
            </w:r>
          </w:p>
        </w:tc>
        <w:tc>
          <w:tcPr>
            <w:tcW w:type="dxa" w:w="2266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Matches reference within 1 ms resolution</w:t>
            </w:r>
          </w:p>
        </w:tc>
      </w:tr>
      <w:tr>
        <w:tc>
          <w:tcPr>
            <w:tcW w:type="dxa" w:w="2266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4</w:t>
            </w:r>
          </w:p>
        </w:tc>
        <w:tc>
          <w:tcPr>
            <w:tcW w:type="dxa" w:w="2266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1PPS</w:t>
            </w:r>
          </w:p>
        </w:tc>
        <w:tc>
          <w:tcPr>
            <w:tcW w:type="dxa" w:w="2266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Oscilloscope</w:t>
            </w:r>
          </w:p>
        </w:tc>
        <w:tc>
          <w:tcPr>
            <w:tcW w:type="dxa" w:w="2266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Stable second pulse</w:t>
            </w:r>
          </w:p>
        </w:tc>
      </w:tr>
      <w:tr>
        <w:tc>
          <w:tcPr>
            <w:tcW w:type="dxa" w:w="2266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5</w:t>
            </w:r>
          </w:p>
        </w:tc>
        <w:tc>
          <w:tcPr>
            <w:tcW w:type="dxa" w:w="2266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IRIG</w:t>
            </w:r>
          </w:p>
        </w:tc>
        <w:tc>
          <w:tcPr>
            <w:tcW w:type="dxa" w:w="2266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Receiver or scope</w:t>
            </w:r>
          </w:p>
        </w:tc>
        <w:tc>
          <w:tcPr>
            <w:tcW w:type="dxa" w:w="2266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Frame OK (if in contract)</w:t>
            </w:r>
          </w:p>
        </w:tc>
      </w:tr>
      <w:tr>
        <w:tc>
          <w:tcPr>
            <w:tcW w:type="dxa" w:w="2266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6</w:t>
            </w:r>
          </w:p>
        </w:tc>
        <w:tc>
          <w:tcPr>
            <w:tcW w:type="dxa" w:w="2266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Logs</w:t>
            </w:r>
          </w:p>
        </w:tc>
        <w:tc>
          <w:tcPr>
            <w:tcW w:type="dxa" w:w="2266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Download event_log / quality_24h from Dashboard Diagnostics</w:t>
            </w:r>
          </w:p>
        </w:tc>
        <w:tc>
          <w:tcPr>
            <w:tcW w:type="dxa" w:w="2266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Readable; quality includes hourly rows (incl. samples=0)</w:t>
            </w:r>
          </w:p>
        </w:tc>
      </w:tr>
    </w:tbl>
    <w:p/>
    <w:p>
      <w:pPr>
        <w:pStyle w:val="Heading2"/>
        <w:spacing w:before="200" w:after="80"/>
      </w:pPr>
      <w:r>
        <w:rPr>
          <w:rFonts w:ascii="Calibri" w:hAnsi="Calibri" w:eastAsia="Calibri"/>
          <w:b/>
          <w:sz w:val="24"/>
        </w:rPr>
        <w:t>6.3 Accuracy Wording</w:t>
      </w:r>
    </w:p>
    <w:p>
      <w:r>
        <w:rPr>
          <w:rFonts w:ascii="Calibri" w:hAnsi="Calibri" w:eastAsia="Calibri"/>
          <w:b w:val="0"/>
          <w:sz w:val="22"/>
        </w:rPr>
        <w:t xml:space="preserve">Contract must name the </w:t>
      </w:r>
      <w:r>
        <w:rPr>
          <w:rFonts w:ascii="Calibri" w:hAnsi="Calibri" w:eastAsia="Calibri"/>
          <w:b/>
          <w:sz w:val="22"/>
        </w:rPr>
        <w:t>acceptance interface</w:t>
      </w:r>
      <w:r>
        <w:rPr>
          <w:rFonts w:ascii="Calibri" w:hAnsi="Calibri" w:eastAsia="Calibri"/>
          <w:b w:val="0"/>
          <w:sz w:val="22"/>
        </w:rPr>
        <w:t>. Do not apply internal 10 ns figures to NTP client tests.</w:t>
      </w:r>
    </w:p>
    <w:p/>
    <w:p>
      <w:pPr>
        <w:pStyle w:val="Heading1"/>
        <w:spacing w:before="240" w:after="120"/>
      </w:pPr>
      <w:r>
        <w:rPr>
          <w:rFonts w:ascii="Calibri" w:hAnsi="Calibri" w:eastAsia="Calibri"/>
          <w:b/>
          <w:sz w:val="28"/>
        </w:rPr>
        <w:t>7. Reliability &amp; Operations</w:t>
      </w:r>
    </w:p>
    <w:p>
      <w:r>
        <w:rPr>
          <w:rFonts w:ascii="Calibri" w:hAnsi="Calibri" w:eastAsia="Calibri"/>
          <w:b w:val="0"/>
          <w:sz w:val="22"/>
        </w:rPr>
        <w:t>State machine visible on LCD/Web; Ethernet soft recovery paths and external-watchdog power-cycle strategy for hard faults (firmware policy); CSV logs for support; Web-configurable IP / NTP policy / ACL (see User Guide).</w:t>
      </w:r>
    </w:p>
    <w:p/>
    <w:p>
      <w:pPr>
        <w:pStyle w:val="Heading1"/>
        <w:spacing w:before="240" w:after="120"/>
      </w:pPr>
      <w:r>
        <w:rPr>
          <w:rFonts w:ascii="Calibri" w:hAnsi="Calibri" w:eastAsia="Calibri"/>
          <w:b/>
          <w:sz w:val="28"/>
        </w:rPr>
        <w:t>8. Implementation Schedule (Template)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022"/>
        <w:gridCol w:w="3022"/>
        <w:gridCol w:w="3022"/>
      </w:tblGrid>
      <w:tr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Phase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Work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Suggested duration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T0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Kickoff, IP/antenna plan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3–5 working days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T1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Delivery &amp; incoming inspection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Per contract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T2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Install, power, cabling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1–2 days / site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T3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Integration (NTP / PLC / timecode)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1–3 days / site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T4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Training &amp; handover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0.5–1 day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T5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Trial run &amp; final acceptance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Per tender</w:t>
            </w:r>
          </w:p>
        </w:tc>
      </w:tr>
    </w:tbl>
    <w:p/>
    <w:p/>
    <w:p>
      <w:pPr>
        <w:pStyle w:val="Heading1"/>
        <w:spacing w:before="240" w:after="120"/>
      </w:pPr>
      <w:r>
        <w:rPr>
          <w:rFonts w:ascii="Calibri" w:hAnsi="Calibri" w:eastAsia="Calibri"/>
          <w:b/>
          <w:sz w:val="28"/>
        </w:rPr>
        <w:t>9. Training &amp; Warranty (Template)</w:t>
      </w:r>
    </w:p>
    <w:p>
      <w:r>
        <w:rPr>
          <w:rFonts w:ascii="Calibri" w:hAnsi="Calibri" w:eastAsia="Calibri"/>
          <w:b w:val="0"/>
          <w:sz w:val="22"/>
        </w:rPr>
        <w:t>Training: install notes, Web/LCD patrol, NTP &amp; Modbus bring-up, log export + SETID/Build for support tickets.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Item</w:t>
            </w:r>
          </w:p>
        </w:tc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Fill per commercial terms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Warranty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____ years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Support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Phone / remote / on-site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Spares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________________</w:t>
            </w:r>
          </w:p>
        </w:tc>
      </w:tr>
    </w:tbl>
    <w:p/>
    <w:p/>
    <w:p>
      <w:pPr>
        <w:pStyle w:val="Heading1"/>
        <w:spacing w:before="240" w:after="120"/>
      </w:pPr>
      <w:r>
        <w:rPr>
          <w:rFonts w:ascii="Calibri" w:hAnsi="Calibri" w:eastAsia="Calibri"/>
          <w:b/>
          <w:sz w:val="28"/>
        </w:rPr>
        <w:t>10. Clause-by-Clause Response Matrix (Template)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813"/>
        <w:gridCol w:w="1813"/>
        <w:gridCol w:w="1813"/>
        <w:gridCol w:w="1813"/>
        <w:gridCol w:w="1813"/>
      </w:tblGrid>
      <w:tr>
        <w:tc>
          <w:tcPr>
            <w:tcW w:type="dxa" w:w="1813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No.</w:t>
            </w:r>
          </w:p>
        </w:tc>
        <w:tc>
          <w:tcPr>
            <w:tcW w:type="dxa" w:w="1813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Tender clause (summary)</w:t>
            </w:r>
          </w:p>
        </w:tc>
        <w:tc>
          <w:tcPr>
            <w:tcW w:type="dxa" w:w="1813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Bid response</w:t>
            </w:r>
          </w:p>
        </w:tc>
        <w:tc>
          <w:tcPr>
            <w:tcW w:type="dxa" w:w="1813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Status</w:t>
            </w:r>
          </w:p>
        </w:tc>
        <w:tc>
          <w:tcPr>
            <w:tcW w:type="dxa" w:w="1813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Evidence</w:t>
            </w:r>
          </w:p>
        </w:tc>
      </w:tr>
      <w:tr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1</w:t>
            </w:r>
          </w:p>
        </w:tc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NTP server</w:t>
            </w:r>
          </w:p>
        </w:tc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UDP 123; Stratum 1 after LOCK</w:t>
            </w:r>
          </w:p>
        </w:tc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Full</w:t>
            </w:r>
          </w:p>
        </w:tc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Spec §5</w:t>
            </w:r>
          </w:p>
        </w:tc>
      </w:tr>
      <w:tr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2</w:t>
            </w:r>
          </w:p>
        </w:tc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GNSS timing</w:t>
            </w:r>
          </w:p>
        </w:tc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GNSS 1PPS discipline</w:t>
            </w:r>
          </w:p>
        </w:tc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Full</w:t>
            </w:r>
          </w:p>
        </w:tc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Spec §1</w:t>
            </w:r>
          </w:p>
        </w:tc>
      </w:tr>
      <w:tr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3</w:t>
            </w:r>
          </w:p>
        </w:tc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Web management</w:t>
            </w:r>
          </w:p>
        </w:tc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HTTP Basic Auth</w:t>
            </w:r>
          </w:p>
        </w:tc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Full</w:t>
            </w:r>
          </w:p>
        </w:tc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User Guide</w:t>
            </w:r>
          </w:p>
        </w:tc>
      </w:tr>
      <w:tr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4</w:t>
            </w:r>
          </w:p>
        </w:tc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RS-485 absolute time</w:t>
            </w:r>
          </w:p>
        </w:tc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Modbus RTU, 1 ms</w:t>
            </w:r>
          </w:p>
        </w:tc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Full</w:t>
            </w:r>
          </w:p>
        </w:tc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Protocol annex</w:t>
            </w:r>
          </w:p>
        </w:tc>
      </w:tr>
      <w:tr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5</w:t>
            </w:r>
          </w:p>
        </w:tc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1PPS output</w:t>
            </w:r>
          </w:p>
        </w:tc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TTL 1PPS</w:t>
            </w:r>
          </w:p>
        </w:tc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Full</w:t>
            </w:r>
          </w:p>
        </w:tc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Spec §7</w:t>
            </w:r>
          </w:p>
        </w:tc>
      </w:tr>
      <w:tr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6</w:t>
            </w:r>
          </w:p>
        </w:tc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IRIG-B</w:t>
            </w:r>
          </w:p>
        </w:tc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IRIG-B120 DCLS (this SKU)</w:t>
            </w:r>
          </w:p>
        </w:tc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Full</w:t>
            </w:r>
          </w:p>
        </w:tc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Protocol annex</w:t>
            </w:r>
          </w:p>
        </w:tc>
      </w:tr>
      <w:tr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7</w:t>
            </w:r>
          </w:p>
        </w:tc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Dual-port redundancy</w:t>
            </w:r>
          </w:p>
        </w:tc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Single port</w:t>
            </w:r>
          </w:p>
        </w:tc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Deviation / N/A</w:t>
            </w:r>
          </w:p>
        </w:tc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§4.6</w:t>
            </w:r>
          </w:p>
        </w:tc>
      </w:tr>
      <w:tr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8</w:t>
            </w:r>
          </w:p>
        </w:tc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PTP/1588</w:t>
            </w:r>
          </w:p>
        </w:tc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Not included</w:t>
            </w:r>
          </w:p>
        </w:tc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Deviation / N/A</w:t>
            </w:r>
          </w:p>
        </w:tc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§4.6</w:t>
            </w:r>
          </w:p>
        </w:tc>
      </w:tr>
      <w:tr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9</w:t>
            </w:r>
          </w:p>
        </w:tc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…</w:t>
            </w:r>
          </w:p>
        </w:tc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…</w:t>
            </w:r>
          </w:p>
        </w:tc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…</w:t>
            </w:r>
          </w:p>
        </w:tc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…</w:t>
            </w:r>
          </w:p>
        </w:tc>
      </w:tr>
    </w:tbl>
    <w:p/>
    <w:p/>
    <w:p>
      <w:pPr>
        <w:pStyle w:val="Heading1"/>
        <w:spacing w:before="240" w:after="120"/>
      </w:pPr>
      <w:r>
        <w:rPr>
          <w:rFonts w:ascii="Calibri" w:hAnsi="Calibri" w:eastAsia="Calibri"/>
          <w:b/>
          <w:sz w:val="28"/>
        </w:rPr>
        <w:t>11. Deviation Statement (If Required)</w:t>
      </w:r>
    </w:p>
    <w:p>
      <w:r>
        <w:rPr>
          <w:rFonts w:ascii="Calibri" w:hAnsi="Calibri" w:eastAsia="Calibri"/>
          <w:b w:val="0"/>
          <w:sz w:val="22"/>
        </w:rPr>
        <w:t>For each deviation: clause ID, actual capability, mitigation/impact, and whether it is material (legal/commercial review).</w:t>
      </w:r>
    </w:p>
    <w:p>
      <w:r>
        <w:rPr>
          <w:rFonts w:ascii="Calibri" w:hAnsi="Calibri" w:eastAsia="Calibri"/>
          <w:b/>
          <w:sz w:val="22"/>
        </w:rPr>
        <w:t>Common proactive statement:</w:t>
      </w:r>
      <w:r>
        <w:rPr>
          <w:rFonts w:ascii="Calibri" w:hAnsi="Calibri" w:eastAsia="Calibri"/>
          <w:b w:val="0"/>
          <w:sz w:val="22"/>
        </w:rPr>
        <w:t xml:space="preserve"> This product is a </w:t>
      </w:r>
      <w:r>
        <w:rPr>
          <w:rFonts w:ascii="Calibri" w:hAnsi="Calibri" w:eastAsia="Calibri"/>
          <w:b/>
          <w:sz w:val="22"/>
        </w:rPr>
        <w:t>single-port</w:t>
      </w:r>
      <w:r>
        <w:rPr>
          <w:rFonts w:ascii="Calibri" w:hAnsi="Calibri" w:eastAsia="Calibri"/>
          <w:b w:val="0"/>
          <w:sz w:val="22"/>
        </w:rPr>
        <w:t xml:space="preserve"> industrial NTP appliance and is </w:t>
      </w:r>
      <w:r>
        <w:rPr>
          <w:rFonts w:ascii="Calibri" w:hAnsi="Calibri" w:eastAsia="Calibri"/>
          <w:b/>
          <w:sz w:val="22"/>
        </w:rPr>
        <w:t>not</w:t>
      </w:r>
      <w:r>
        <w:rPr>
          <w:rFonts w:ascii="Calibri" w:hAnsi="Calibri" w:eastAsia="Calibri"/>
          <w:b w:val="0"/>
          <w:sz w:val="22"/>
        </w:rPr>
        <w:t xml:space="preserve"> bid as a PTP plant-wide sub-µs solution. If PTP is mandatory, use a dedicated PTP design or consortium bid.</w:t>
      </w:r>
    </w:p>
    <w:p/>
    <w:p>
      <w:pPr>
        <w:pStyle w:val="Heading1"/>
        <w:spacing w:before="240" w:after="120"/>
      </w:pPr>
      <w:r>
        <w:rPr>
          <w:rFonts w:ascii="Calibri" w:hAnsi="Calibri" w:eastAsia="Calibri"/>
          <w:b/>
          <w:sz w:val="28"/>
        </w:rPr>
        <w:t>12. Attachment List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6"/>
        <w:gridCol w:w="2266"/>
        <w:gridCol w:w="2266"/>
        <w:gridCol w:w="2266"/>
      </w:tblGrid>
      <w:tr>
        <w:tc>
          <w:tcPr>
            <w:tcW w:type="dxa" w:w="2266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No.</w:t>
            </w:r>
          </w:p>
        </w:tc>
        <w:tc>
          <w:tcPr>
            <w:tcW w:type="dxa" w:w="2266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Attachment</w:t>
            </w:r>
          </w:p>
        </w:tc>
        <w:tc>
          <w:tcPr>
            <w:tcW w:type="dxa" w:w="2266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Format</w:t>
            </w:r>
          </w:p>
        </w:tc>
        <w:tc>
          <w:tcPr>
            <w:tcW w:type="dxa" w:w="2266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Notes</w:t>
            </w:r>
          </w:p>
        </w:tc>
      </w:tr>
      <w:tr>
        <w:tc>
          <w:tcPr>
            <w:tcW w:type="dxa" w:w="2266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A1</w:t>
            </w:r>
          </w:p>
        </w:tc>
        <w:tc>
          <w:tcPr>
            <w:tcW w:type="dxa" w:w="2266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Product Specification (Shipping) ZH</w:t>
            </w:r>
          </w:p>
        </w:tc>
        <w:tc>
          <w:tcPr>
            <w:tcW w:type="dxa" w:w="2266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md/docx</w:t>
            </w:r>
          </w:p>
        </w:tc>
        <w:tc>
          <w:tcPr>
            <w:tcW w:type="dxa" w:w="2266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Product Specification (Shipping, ZH)</w:t>
            </w:r>
          </w:p>
        </w:tc>
      </w:tr>
      <w:tr>
        <w:tc>
          <w:tcPr>
            <w:tcW w:type="dxa" w:w="2266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A2</w:t>
            </w:r>
          </w:p>
        </w:tc>
        <w:tc>
          <w:tcPr>
            <w:tcW w:type="dxa" w:w="2266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Product Specification (Shipping) EN</w:t>
            </w:r>
          </w:p>
        </w:tc>
        <w:tc>
          <w:tcPr>
            <w:tcW w:type="dxa" w:w="2266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md/docx</w:t>
            </w:r>
          </w:p>
        </w:tc>
        <w:tc>
          <w:tcPr>
            <w:tcW w:type="dxa" w:w="2266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Product Specification (Shipping)</w:t>
            </w:r>
          </w:p>
        </w:tc>
      </w:tr>
      <w:tr>
        <w:tc>
          <w:tcPr>
            <w:tcW w:type="dxa" w:w="2266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A3</w:t>
            </w:r>
          </w:p>
        </w:tc>
        <w:tc>
          <w:tcPr>
            <w:tcW w:type="dxa" w:w="2266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Reference · Serve Policy · Capacity (One Page)</w:t>
            </w:r>
          </w:p>
        </w:tc>
        <w:tc>
          <w:tcPr>
            <w:tcW w:type="dxa" w:w="2266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md/docx</w:t>
            </w:r>
          </w:p>
        </w:tc>
        <w:tc>
          <w:tcPr>
            <w:tcW w:type="dxa" w:w="2266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Selection Sheet (Reference · Policy · Capacity)</w:t>
            </w:r>
          </w:p>
        </w:tc>
      </w:tr>
      <w:tr>
        <w:tc>
          <w:tcPr>
            <w:tcW w:type="dxa" w:w="2266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A4</w:t>
            </w:r>
          </w:p>
        </w:tc>
        <w:tc>
          <w:tcPr>
            <w:tcW w:type="dxa" w:w="2266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User Guide (bid-sanitized)</w:t>
            </w:r>
          </w:p>
        </w:tc>
        <w:tc>
          <w:tcPr>
            <w:tcW w:type="dxa" w:w="2266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md/docx</w:t>
            </w:r>
          </w:p>
        </w:tc>
        <w:tc>
          <w:tcPr>
            <w:tcW w:type="dxa" w:w="2266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用户指南（标书脱敏版） (not the shipping edition with factory password)</w:t>
            </w:r>
          </w:p>
        </w:tc>
      </w:tr>
      <w:tr>
        <w:tc>
          <w:tcPr>
            <w:tcW w:type="dxa" w:w="2266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A5</w:t>
            </w:r>
          </w:p>
        </w:tc>
        <w:tc>
          <w:tcPr>
            <w:tcW w:type="dxa" w:w="2266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Industrial Interface Protocol</w:t>
            </w:r>
          </w:p>
        </w:tc>
        <w:tc>
          <w:tcPr>
            <w:tcW w:type="dxa" w:w="2266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md</w:t>
            </w:r>
          </w:p>
        </w:tc>
        <w:tc>
          <w:tcPr>
            <w:tcW w:type="dxa" w:w="2266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工业接口协议附件</w:t>
            </w:r>
          </w:p>
        </w:tc>
      </w:tr>
      <w:tr>
        <w:tc>
          <w:tcPr>
            <w:tcW w:type="dxa" w:w="2266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A6</w:t>
            </w:r>
          </w:p>
        </w:tc>
        <w:tc>
          <w:tcPr>
            <w:tcW w:type="dxa" w:w="2266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This Bid Technical Proposal</w:t>
            </w:r>
          </w:p>
        </w:tc>
        <w:tc>
          <w:tcPr>
            <w:tcW w:type="dxa" w:w="2266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md/docx</w:t>
            </w:r>
          </w:p>
        </w:tc>
        <w:tc>
          <w:tcPr>
            <w:tcW w:type="dxa" w:w="2266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Bid Technical Proposal</w:t>
            </w:r>
          </w:p>
        </w:tc>
      </w:tr>
      <w:tr>
        <w:tc>
          <w:tcPr>
            <w:tcW w:type="dxa" w:w="2266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A6</w:t>
            </w:r>
          </w:p>
        </w:tc>
        <w:tc>
          <w:tcPr>
            <w:tcW w:type="dxa" w:w="2266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Datasheet / photos</w:t>
            </w:r>
          </w:p>
        </w:tc>
        <w:tc>
          <w:tcPr>
            <w:tcW w:type="dxa" w:w="2266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optional</w:t>
            </w:r>
          </w:p>
        </w:tc>
        <w:tc>
          <w:tcPr>
            <w:tcW w:type="dxa" w:w="2266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Commercial pack</w:t>
            </w:r>
          </w:p>
        </w:tc>
      </w:tr>
      <w:tr>
        <w:tc>
          <w:tcPr>
            <w:tcW w:type="dxa" w:w="2266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A7</w:t>
            </w:r>
          </w:p>
        </w:tc>
        <w:tc>
          <w:tcPr>
            <w:tcW w:type="dxa" w:w="2266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Test / factory reports</w:t>
            </w:r>
          </w:p>
        </w:tc>
        <w:tc>
          <w:tcPr>
            <w:tcW w:type="dxa" w:w="2266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optional</w:t>
            </w:r>
          </w:p>
        </w:tc>
        <w:tc>
          <w:tcPr>
            <w:tcW w:type="dxa" w:w="2266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Per contract</w:t>
            </w:r>
          </w:p>
        </w:tc>
      </w:tr>
    </w:tbl>
    <w:p/>
    <w:p>
      <w:pPr>
        <w:spacing w:before="80" w:after="80"/>
        <w:ind w:left="454"/>
      </w:pPr>
      <w:r>
        <w:rPr>
          <w:rFonts w:ascii="Calibri" w:hAnsi="Calibri" w:eastAsia="Calibri"/>
          <w:b/>
          <w:i/>
          <w:color w:val="444444"/>
          <w:sz w:val="20"/>
        </w:rPr>
        <w:t>Packaging:</w:t>
      </w:r>
      <w:r>
        <w:rPr>
          <w:rFonts w:ascii="Calibri" w:hAnsi="Calibri" w:eastAsia="Calibri"/>
          <w:b w:val="0"/>
          <w:i/>
          <w:color w:val="444444"/>
          <w:sz w:val="20"/>
        </w:rPr>
        <w:t xml:space="preserve"> Tender ZIP must contain </w:t>
      </w:r>
      <w:r>
        <w:rPr>
          <w:rFonts w:ascii="Calibri" w:hAnsi="Calibri" w:eastAsia="Calibri"/>
          <w:b/>
          <w:i/>
          <w:color w:val="444444"/>
          <w:sz w:val="20"/>
        </w:rPr>
        <w:t>only</w:t>
      </w:r>
      <w:r>
        <w:rPr>
          <w:rFonts w:ascii="Calibri" w:hAnsi="Calibri" w:eastAsia="Calibri"/>
          <w:b w:val="0"/>
          <w:i/>
          <w:color w:val="444444"/>
          <w:sz w:val="20"/>
        </w:rPr>
        <w:t xml:space="preserve"> files from this public technical package. Do </w:t>
      </w:r>
      <w:r>
        <w:rPr>
          <w:rFonts w:ascii="Calibri" w:hAnsi="Calibri" w:eastAsia="Calibri"/>
          <w:b/>
          <w:i/>
          <w:color w:val="444444"/>
          <w:sz w:val="20"/>
        </w:rPr>
        <w:t>not</w:t>
      </w:r>
      <w:r>
        <w:rPr>
          <w:rFonts w:ascii="Calibri" w:hAnsi="Calibri" w:eastAsia="Calibri"/>
          <w:b w:val="0"/>
          <w:i/>
          <w:color w:val="444444"/>
          <w:sz w:val="20"/>
        </w:rPr>
        <w:t xml:space="preserve"> include the shipping User Guide (factory credentials), internal unpublished technical materials.</w:t>
      </w:r>
    </w:p>
    <w:p/>
    <w:p>
      <w:pPr>
        <w:pStyle w:val="Heading1"/>
        <w:spacing w:before="240" w:after="120"/>
      </w:pPr>
      <w:r>
        <w:rPr>
          <w:rFonts w:ascii="Calibri" w:hAnsi="Calibri" w:eastAsia="Calibri"/>
          <w:b/>
          <w:sz w:val="28"/>
        </w:rPr>
        <w:t>13. Closing</w:t>
      </w:r>
    </w:p>
    <w:p>
      <w:r>
        <w:rPr>
          <w:rFonts w:ascii="Calibri" w:hAnsi="Calibri" w:eastAsia="Calibri"/>
          <w:b/>
          <w:sz w:val="22"/>
        </w:rPr>
        <w:t>QYTS-3000-BG-T-S</w:t>
      </w:r>
      <w:r>
        <w:rPr>
          <w:rFonts w:ascii="Calibri" w:hAnsi="Calibri" w:eastAsia="Calibri"/>
          <w:b w:val="0"/>
          <w:sz w:val="22"/>
        </w:rPr>
        <w:t xml:space="preserve"> addresses common industrial, security, office, and metering-assist needs for a </w:t>
      </w:r>
      <w:r>
        <w:rPr>
          <w:rFonts w:ascii="Calibri" w:hAnsi="Calibri" w:eastAsia="Calibri"/>
          <w:b/>
          <w:sz w:val="22"/>
        </w:rPr>
        <w:t>local GNSS authority with multi-channel timing</w:t>
      </w:r>
      <w:r>
        <w:rPr>
          <w:rFonts w:ascii="Calibri" w:hAnsi="Calibri" w:eastAsia="Calibri"/>
          <w:b w:val="0"/>
          <w:sz w:val="22"/>
        </w:rPr>
        <w:t xml:space="preserve">. The bidder affirms consistency with the shipping specification and protocol annex; acceptance is </w:t>
      </w:r>
      <w:r>
        <w:rPr>
          <w:rFonts w:ascii="Calibri" w:hAnsi="Calibri" w:eastAsia="Calibri"/>
          <w:b/>
          <w:sz w:val="22"/>
        </w:rPr>
        <w:t>per channel</w:t>
      </w:r>
      <w:r>
        <w:rPr>
          <w:rFonts w:ascii="Calibri" w:hAnsi="Calibri" w:eastAsia="Calibri"/>
          <w:b w:val="0"/>
          <w:sz w:val="22"/>
        </w:rPr>
        <w:t>; exclusions in §4.6 are not falsely claimed.</w:t>
      </w:r>
    </w:p>
    <w:p>
      <w:pPr>
        <w:jc w:val="center"/>
      </w:pPr>
      <w:r>
        <w:rPr>
          <w:rFonts w:ascii="Calibri" w:hAnsi="Calibri" w:eastAsia="Calibri"/>
          <w:b w:val="0"/>
          <w:i/>
          <w:color w:val="666666"/>
          <w:sz w:val="20"/>
        </w:rPr>
        <w:t>Commercial terms (price, delivery, warranty) are governed by the commercial bid volume.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17" w:right="1587" w:bottom="1417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 w:eastAsia="Calibri"/>
        <w:b w:val="0"/>
        <w:sz w:val="18"/>
      </w:rP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Calibri" w:hAnsi="Calibri" w:eastAsia="Calibri"/>
        <w:b w:val="0"/>
        <w:color w:val="666666"/>
        <w:sz w:val="18"/>
      </w:rPr>
      <w:t>Industrial NTP Time Server — Bid Technical Proposal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Rule="auto" w:line="300" w:after="120"/>
    </w:pPr>
    <w:rPr>
      <w:rFonts w:ascii="Calibri" w:hAnsi="Calibri" w:eastAsia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Industrial NTP Time Server — Bid Technical Proposal</dc:title>
  <dc:subject>QYTS-3000 Bid Technical Proposal</dc:subject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>Bid Technical Proposal</cp:category>
</cp:coreProperties>
</file>