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0"/>
        </w:rPr>
        <w:t>工业 NTP 授时服务器 — 投标技术方案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代理商 · 最终客户 · 招标技术包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投标技术方案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`DOC-Q3000-BID-CN-011`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投标产品型号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文档性质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投标技术文件（可随招标文件微调项目名称）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适用固件基线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V4.9.0（以供货铭牌 / Web「Firmware / Build」为准）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配套投标附件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《产品规格书（发货）》《参考源 · 应答策略 · 容量边界（一页）》《用户指南（标书脱敏版）》《工业接口协议附件》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填写栏（投标前替换）：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招标项目名称：____________________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招标编号：____________________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投标单位：____________________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编制日期：____________________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1. 编制说明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1.1 编制目的</w:t>
      </w:r>
    </w:p>
    <w:p>
      <w:r>
        <w:rPr>
          <w:rFonts w:ascii="宋体" w:hAnsi="宋体" w:eastAsia="宋体"/>
          <w:b w:val="0"/>
          <w:sz w:val="22"/>
        </w:rPr>
        <w:t>本文件响应招标文件中对</w:t>
      </w:r>
      <w:r>
        <w:rPr>
          <w:rFonts w:ascii="宋体" w:hAnsi="宋体" w:eastAsia="宋体"/>
          <w:b/>
          <w:sz w:val="22"/>
        </w:rPr>
        <w:t>局域网授时 / GNSS 同步时钟 / NTP 时间服务器</w:t>
      </w:r>
      <w:r>
        <w:rPr>
          <w:rFonts w:ascii="宋体" w:hAnsi="宋体" w:eastAsia="宋体"/>
          <w:b w:val="0"/>
          <w:sz w:val="22"/>
        </w:rPr>
        <w:t>的技术要求，说明投标产品的总体方案、技术指标、接口能力、实施与验收建议，供评标专家与用户单位技术审查使用。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1.2 编制依据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招标文件及技术规格书（以采购方正式文本为准）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投标产品《产品规格书（发货）》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《选型一页（参考源·策略·容量）》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《用户指南（标书脱敏版）》（</w:t>
      </w:r>
      <w:r>
        <w:rPr>
          <w:rFonts w:ascii="宋体" w:hAnsi="宋体" w:eastAsia="宋体"/>
          <w:b/>
          <w:sz w:val="22"/>
        </w:rPr>
        <w:t>勿</w:t>
      </w:r>
      <w:r>
        <w:rPr>
          <w:rFonts w:ascii="宋体" w:hAnsi="宋体" w:eastAsia="宋体"/>
          <w:b w:val="0"/>
          <w:sz w:val="22"/>
        </w:rPr>
        <w:t>用含出厂口令的随箱发货版）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《工业接口协议附件》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NTP：RFC 5905（本机实现为服务器侧常用子集）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Modbus RTU 工业惯例（9600 8N1 从站）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1.3 响应原则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通道分立</w:t>
      </w:r>
      <w:r>
        <w:rPr>
          <w:rFonts w:ascii="宋体" w:hAnsi="宋体" w:eastAsia="宋体"/>
          <w:b w:val="0"/>
          <w:sz w:val="22"/>
        </w:rPr>
        <w:t>：NTP、RS-485 Modbus、TTL 1PPS、IRIG-B120 指标</w:t>
      </w:r>
      <w:r>
        <w:rPr>
          <w:rFonts w:ascii="宋体" w:hAnsi="宋体" w:eastAsia="宋体"/>
          <w:b/>
          <w:sz w:val="22"/>
        </w:rPr>
        <w:t>分别响应</w:t>
      </w:r>
      <w:r>
        <w:rPr>
          <w:rFonts w:ascii="宋体" w:hAnsi="宋体" w:eastAsia="宋体"/>
          <w:b w:val="0"/>
          <w:sz w:val="22"/>
        </w:rPr>
        <w:t>，不跨通道套用精度。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可验收</w:t>
      </w:r>
      <w:r>
        <w:rPr>
          <w:rFonts w:ascii="宋体" w:hAnsi="宋体" w:eastAsia="宋体"/>
          <w:b w:val="0"/>
          <w:sz w:val="22"/>
        </w:rPr>
        <w:t>：凡写入合同的指标，均建议对应可操作的验收方法（见第 6 章）。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边界清晰</w:t>
      </w:r>
      <w:r>
        <w:rPr>
          <w:rFonts w:ascii="宋体" w:hAnsi="宋体" w:eastAsia="宋体"/>
          <w:b w:val="0"/>
          <w:sz w:val="22"/>
        </w:rPr>
        <w:t>：不承诺本机未实现的能力（如 PTP/IEEE 1588、双网口冗余、IPv6、NTS 等），避免虚假响应。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2. 项目理解与总体方案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2.1 需求理解（典型场景）</w:t>
      </w:r>
    </w:p>
    <w:p>
      <w:r>
        <w:rPr>
          <w:rFonts w:ascii="宋体" w:hAnsi="宋体" w:eastAsia="宋体"/>
          <w:b w:val="0"/>
          <w:sz w:val="22"/>
        </w:rPr>
        <w:t>采购单位通常需要一套</w:t>
      </w:r>
      <w:r>
        <w:rPr>
          <w:rFonts w:ascii="宋体" w:hAnsi="宋体" w:eastAsia="宋体"/>
          <w:b/>
          <w:sz w:val="22"/>
        </w:rPr>
        <w:t>本地时间权威源</w:t>
      </w:r>
      <w:r>
        <w:rPr>
          <w:rFonts w:ascii="宋体" w:hAnsi="宋体" w:eastAsia="宋体"/>
          <w:b w:val="0"/>
          <w:sz w:val="22"/>
        </w:rPr>
        <w:t>，在 GNSS 可用时提供稳定 UTC/本地日历时间，并向下列系统授时：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对象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典型需求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本方案通道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服务器 / PC / NVR / 交换机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局域网 NTP 对时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RJ45 NTP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SCADA / 触摸屏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绝对时间、画面时戳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 Modbus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采集卡 / 示波器 / 同步节点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硬件秒沿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1PPS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电力 / 传统时码设备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 时码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IRIG-B120 DCLS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2.2 总体技术路线</w:t>
      </w:r>
    </w:p>
    <w:p>
      <w:r>
        <w:rPr>
          <w:rFonts w:ascii="宋体" w:hAnsi="宋体" w:eastAsia="宋体"/>
          <w:b w:val="0"/>
          <w:sz w:val="22"/>
        </w:rPr>
        <w:t>采用「</w:t>
      </w:r>
      <w:r>
        <w:rPr>
          <w:rFonts w:ascii="宋体" w:hAnsi="宋体" w:eastAsia="宋体"/>
          <w:b/>
          <w:sz w:val="22"/>
        </w:rPr>
        <w:t>GNSS 1PPS + 本地振荡器驯服 + RTC/SQW 守时 + 多通道并行输出</w:t>
      </w:r>
      <w:r>
        <w:rPr>
          <w:rFonts w:ascii="宋体" w:hAnsi="宋体" w:eastAsia="宋体"/>
          <w:b w:val="0"/>
          <w:sz w:val="22"/>
        </w:rPr>
        <w:t>」架构：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室外 GNSS 天线</w:t>
        <w:br/>
        <w:t xml:space="preserve">      │</w:t>
        <w:br/>
        <w:t xml:space="preserve">      ▼</w:t>
        <w:br/>
        <w:t xml:space="preserve"> GNSS 模组（1PPS + 导航电文）</w:t>
        <w:br/>
        <w:t xml:space="preserve">      │</w:t>
        <w:br/>
        <w:t xml:space="preserve">      ▼</w:t>
        <w:br/>
        <w:t xml:space="preserve">  主控驯服 / 相位监测 / 状态机（LOCK / HOLDOVER）</w:t>
        <w:br/>
        <w:t xml:space="preserve">      ├──────────► RJ45：NTP 服务器 + Web 管理</w:t>
        <w:br/>
        <w:t xml:space="preserve">      ├──────────► RS-485：Modbus RTU 绝对时间</w:t>
        <w:br/>
        <w:t xml:space="preserve">      ├──────────► TTL：1PPS 秒脉冲</w:t>
        <w:br/>
        <w:t xml:space="preserve">      └──────────► IRIG-B120：DCLS 时码</w:t>
      </w:r>
    </w:p>
    <w:p>
      <w:r>
        <w:rPr>
          <w:rFonts w:ascii="宋体" w:hAnsi="宋体" w:eastAsia="宋体"/>
          <w:b/>
          <w:sz w:val="22"/>
        </w:rPr>
        <w:t>锁定（LOCK）后</w:t>
      </w:r>
      <w:r>
        <w:rPr>
          <w:rFonts w:ascii="宋体" w:hAnsi="宋体" w:eastAsia="宋体"/>
          <w:b w:val="0"/>
          <w:sz w:val="22"/>
        </w:rPr>
        <w:t xml:space="preserve">，本机作为 </w:t>
      </w:r>
      <w:r>
        <w:rPr>
          <w:rFonts w:ascii="宋体" w:hAnsi="宋体" w:eastAsia="宋体"/>
          <w:b/>
          <w:sz w:val="22"/>
        </w:rPr>
        <w:t>NTP Stratum 1</w:t>
      </w:r>
      <w:r>
        <w:rPr>
          <w:rFonts w:ascii="宋体" w:hAnsi="宋体" w:eastAsia="宋体"/>
          <w:b w:val="0"/>
          <w:sz w:val="22"/>
        </w:rPr>
        <w:t xml:space="preserve"> 时间服务器运行；GNSS 短暂丢失时进入守时（Holdover），质量随时间劣化，具体见规格书。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2.3 方案特点（评标要点）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要点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真源授时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 GNSS 为一级时间参考，非依赖上级 NTP 服务器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多通道一体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单设备覆盖 IT（NTP）与 OT（485 / PPS / IRIG）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可运维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Dashboard、前面板 LCD、事件与 24h 质量日志导出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可追溯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出厂序列号 SETID；固件 Build 可查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表述合规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精度按接口分层，避免「全网 10 ns」类误导承诺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3. 系统组成与供货范围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3.1 硬件组成（投标标的）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序号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名称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工业 NTP 授时主机 </w:t>
            </w:r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含以太网、RS-485、1PPS、IRIG（本机型配置）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天线及馈线（按合同）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室外安装，视场开阔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供电（单路 `-S`，按合同/铭牌）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同一时刻只用一种进线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：① </w:t>
            </w:r>
            <w:r>
              <w:rPr>
                <w:rFonts w:ascii="宋体" w:hAnsi="宋体" w:eastAsia="宋体"/>
                <w:b/>
                <w:sz w:val="20"/>
              </w:rPr>
              <w:t>AC 220 V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三孔品字（机内 AC 模块）；或 ② </w:t>
            </w:r>
            <w:r>
              <w:rPr>
                <w:rFonts w:ascii="宋体" w:hAnsi="宋体" w:eastAsia="宋体"/>
                <w:b/>
                <w:sz w:val="20"/>
              </w:rPr>
              <w:t>DC-IN（DC050-T）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+ 外置适配器（</w:t>
            </w:r>
            <w:r>
              <w:rPr>
                <w:rFonts w:ascii="宋体" w:hAnsi="宋体" w:eastAsia="宋体"/>
                <w:b/>
                <w:sz w:val="20"/>
              </w:rPr>
              <w:t>12 V～24 V DC</w:t>
            </w:r>
            <w:r>
              <w:rPr>
                <w:rFonts w:ascii="宋体" w:hAnsi="宋体" w:eastAsia="宋体"/>
                <w:b w:val="0"/>
                <w:sz w:val="20"/>
              </w:rPr>
              <w:t>）。禁止双路同时接入；非 `-D` 冗余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随箱文档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用户指南、规格书、工业接口协议、接线资料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机柜、交换机、客户端软件、PLC 主站工程由建设方或集成商另行负责，除非合同另有约定。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3.2 软件与固件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出厂预装固件（版本以铭牌 / Web 为准）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内置 HTTP 管理界面（Basic Auth）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NTP 服务随设备启动；Modbus / 1PPS / IRIG 按机型启用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4. 主要技术指标（投标响应）</w:t>
      </w:r>
    </w:p>
    <w:p>
      <w:r>
        <w:rPr>
          <w:rFonts w:ascii="宋体" w:hAnsi="宋体" w:eastAsia="宋体"/>
          <w:b w:val="0"/>
          <w:sz w:val="22"/>
        </w:rPr>
        <w:t>以下为投标产品</w:t>
      </w:r>
      <w:r>
        <w:rPr>
          <w:rFonts w:ascii="宋体" w:hAnsi="宋体" w:eastAsia="宋体"/>
          <w:b/>
          <w:sz w:val="22"/>
        </w:rPr>
        <w:t>标准能力</w:t>
      </w:r>
      <w:r>
        <w:rPr>
          <w:rFonts w:ascii="宋体" w:hAnsi="宋体" w:eastAsia="宋体"/>
          <w:b w:val="0"/>
          <w:sz w:val="22"/>
        </w:rPr>
        <w:t>摘要；若招标条款更严或更宽，以第 10 章「点对点响应表」逐条填写为准。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4.1 基本参数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招标常见项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投标响应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产品类型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驯服局域网 NTP 授时服务器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对外型号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星座 / 本振 / 电源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BG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（北斗+GPS）/ </w:t>
            </w:r>
            <w:r>
              <w:rPr>
                <w:rFonts w:ascii="宋体" w:hAnsi="宋体" w:eastAsia="宋体"/>
                <w:b/>
                <w:sz w:val="20"/>
              </w:rPr>
              <w:t>T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（TCXO）/ </w:t>
            </w:r>
            <w:r>
              <w:rPr>
                <w:rFonts w:ascii="宋体" w:hAnsi="宋体" w:eastAsia="宋体"/>
                <w:b/>
                <w:sz w:val="20"/>
              </w:rPr>
              <w:t>S</w:t>
            </w:r>
            <w:r>
              <w:rPr>
                <w:rFonts w:ascii="宋体" w:hAnsi="宋体" w:eastAsia="宋体"/>
                <w:b w:val="0"/>
                <w:sz w:val="20"/>
              </w:rPr>
              <w:t>（单电源）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授时协议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v3/v4，UDP </w:t>
            </w:r>
            <w:r>
              <w:rPr>
                <w:rFonts w:ascii="宋体" w:hAnsi="宋体" w:eastAsia="宋体"/>
                <w:b/>
                <w:sz w:val="20"/>
              </w:rPr>
              <w:t>123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网络接口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1×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RJ45，10/100M（单口；非双网口热备）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出厂默认 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192.168.1.123 / 24，网关 192.168.1.1（可改）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管理方式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+ 前面板 LCD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时间参考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1PPS + 本地 TCXO 驯服；工业级 RTC（温度补偿）/ SQW 秒沿守时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4.2 精度与同步能力（分层响应）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通道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投标承诺（LOCK 后典型）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适用验收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设备内部 / GNSS 1PPS 基准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模组短稳典型 ≤ </w:t>
            </w:r>
            <w:r>
              <w:rPr>
                <w:rFonts w:ascii="宋体" w:hAnsi="宋体" w:eastAsia="宋体"/>
                <w:b/>
                <w:sz w:val="20"/>
              </w:rPr>
              <w:t>10 ns RMS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；内部抖动监测典型 ≤ </w:t>
            </w:r>
            <w:r>
              <w:rPr>
                <w:rFonts w:ascii="宋体" w:hAnsi="宋体" w:eastAsia="宋体"/>
                <w:b/>
                <w:sz w:val="20"/>
              </w:rPr>
              <w:t>50 ns</w:t>
            </w:r>
            <w:r>
              <w:rPr>
                <w:rFonts w:ascii="宋体" w:hAnsi="宋体" w:eastAsia="宋体"/>
                <w:b w:val="0"/>
                <w:sz w:val="20"/>
              </w:rPr>
              <w:t>（短窗）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厂内/实验室参考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1PPS 输出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亚微秒级边沿（相对内部 PPS）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示波器 / 时间间隔计数器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 Modbus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时间分辨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（UTC，含毫秒寄存器）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读寄存器比对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 NTP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局域网典型 </w:t>
            </w:r>
            <w:r>
              <w:rPr>
                <w:rFonts w:ascii="宋体" w:hAnsi="宋体" w:eastAsia="宋体"/>
                <w:b/>
                <w:sz w:val="20"/>
              </w:rPr>
              <w:t>毫秒级</w:t>
            </w:r>
            <w:r>
              <w:rPr>
                <w:rFonts w:ascii="宋体" w:hAnsi="宋体" w:eastAsia="宋体"/>
                <w:b w:val="0"/>
                <w:sz w:val="20"/>
              </w:rPr>
              <w:t>（以客户端实测为准）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ntpq / chronyc / 客户端日志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 Holdover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短时丢失可持续运行，误差随时间增大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拔天线浸泡试验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重要声明（建议写入合同附件）：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「GNSS 1PPS 10 ns RMS」</w:t>
      </w:r>
      <w:r>
        <w:rPr>
          <w:rFonts w:ascii="宋体" w:hAnsi="宋体" w:eastAsia="宋体"/>
          <w:b/>
          <w:i/>
          <w:color w:val="444444"/>
          <w:sz w:val="20"/>
        </w:rPr>
        <w:t>不得</w:t>
      </w:r>
      <w:r>
        <w:rPr>
          <w:rFonts w:ascii="宋体" w:hAnsi="宋体" w:eastAsia="宋体"/>
          <w:b w:val="0"/>
          <w:i/>
          <w:color w:val="444444"/>
          <w:sz w:val="20"/>
        </w:rPr>
        <w:t>等同为「网口 NTP 客户端 10 ns」或「RS-485 纳秒授时」。合同与验收必须</w:t>
      </w:r>
      <w:r>
        <w:rPr>
          <w:rFonts w:ascii="宋体" w:hAnsi="宋体" w:eastAsia="宋体"/>
          <w:b/>
          <w:i/>
          <w:color w:val="444444"/>
          <w:sz w:val="20"/>
        </w:rPr>
        <w:t>按接口分别约定</w:t>
      </w:r>
      <w:r>
        <w:rPr>
          <w:rFonts w:ascii="宋体" w:hAnsi="宋体" w:eastAsia="宋体"/>
          <w:b w:val="0"/>
          <w:i/>
          <w:color w:val="444444"/>
          <w:sz w:val="20"/>
        </w:rPr>
        <w:t>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4.3 NTP 服务能力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投标响应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运行角色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服务器；LOCK 后典型 </w:t>
            </w:r>
            <w:r>
              <w:rPr>
                <w:rFonts w:ascii="宋体" w:hAnsi="宋体" w:eastAsia="宋体"/>
                <w:b/>
                <w:sz w:val="20"/>
              </w:rPr>
              <w:t>Stratum 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推荐客户端数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60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台（局域网）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全网应答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自适应限速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；过载保护约 ≤ </w:t>
            </w:r>
            <w:r>
              <w:rPr>
                <w:rFonts w:ascii="宋体" w:hAnsi="宋体" w:eastAsia="宋体"/>
                <w:b/>
                <w:sz w:val="20"/>
              </w:rPr>
              <w:t>1024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次/秒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单源 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≤ </w:t>
            </w:r>
            <w:r>
              <w:rPr>
                <w:rFonts w:ascii="宋体" w:hAnsi="宋体" w:eastAsia="宋体"/>
                <w:b/>
                <w:sz w:val="20"/>
              </w:rPr>
              <w:t>8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次/秒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ACL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可选 NTP 源 IP 白名单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暖机策略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可按 Web「NTP 应答策略」以 Stratum 2 过渡（出厂默认「锁定应答」）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4.4 工业接口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接口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投标响应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RTU 从站，</w:t>
            </w:r>
            <w:r>
              <w:rPr>
                <w:rFonts w:ascii="宋体" w:hAnsi="宋体" w:eastAsia="宋体"/>
                <w:b/>
                <w:sz w:val="20"/>
              </w:rPr>
              <w:t>9600 8N1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，地址 </w:t>
            </w:r>
            <w:r>
              <w:rPr>
                <w:rFonts w:ascii="宋体" w:hAnsi="宋体" w:eastAsia="宋体"/>
                <w:b/>
                <w:sz w:val="20"/>
              </w:rPr>
              <w:t>0x01</w:t>
            </w:r>
            <w:r>
              <w:rPr>
                <w:rFonts w:ascii="宋体" w:hAnsi="宋体" w:eastAsia="宋体"/>
                <w:b w:val="0"/>
                <w:sz w:val="20"/>
              </w:rPr>
              <w:t>；读 FC 0x03/0x04；UTC 含 ms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1PPS OUT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秒脉冲，硬件秒沿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IRIG-B120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DCLS 时码，与 PPS 秒沿同步（本机型配置）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寄存器地图、联调步骤见《工业接口协议附件》。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4.5 管理与日志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投标响应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Dashboard / Network；HTTP Basic Auth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SNMP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只读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SNMPv2c / UDP </w:t>
            </w:r>
            <w:r>
              <w:rPr>
                <w:rFonts w:ascii="宋体" w:hAnsi="宋体" w:eastAsia="宋体"/>
                <w:b/>
                <w:sz w:val="20"/>
              </w:rPr>
              <w:t>161</w:t>
            </w:r>
            <w:r>
              <w:rPr>
                <w:rFonts w:ascii="宋体" w:hAnsi="宋体" w:eastAsia="宋体"/>
                <w:b w:val="0"/>
                <w:sz w:val="20"/>
              </w:rPr>
              <w:t>（b140+）；</w:t>
            </w:r>
            <w:r>
              <w:rPr>
                <w:rFonts w:ascii="宋体" w:hAnsi="宋体" w:eastAsia="宋体"/>
                <w:b/>
                <w:sz w:val="20"/>
              </w:rPr>
              <w:t>不含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HTTPS / SNMPv3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事件日志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`event_log.csv`（环形约 2048 条；默认导出最近约 1024 条）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24h 质量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`quality_24h.csv`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前面板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巡检 / 授时决策 / 异常归因 / 资产四页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4.6 明确不包含（避免虚假响应）</w:t>
      </w:r>
    </w:p>
    <w:p>
      <w:r>
        <w:rPr>
          <w:rFonts w:ascii="宋体" w:hAnsi="宋体" w:eastAsia="宋体"/>
          <w:b w:val="0"/>
          <w:sz w:val="22"/>
        </w:rPr>
        <w:t>下列能力</w:t>
      </w:r>
      <w:r>
        <w:rPr>
          <w:rFonts w:ascii="宋体" w:hAnsi="宋体" w:eastAsia="宋体"/>
          <w:b/>
          <w:sz w:val="22"/>
        </w:rPr>
        <w:t>不在本投标产品标准范围内</w:t>
      </w:r>
      <w:r>
        <w:rPr>
          <w:rFonts w:ascii="宋体" w:hAnsi="宋体" w:eastAsia="宋体"/>
          <w:b w:val="0"/>
          <w:sz w:val="22"/>
        </w:rPr>
        <w:t>（除非另行专项方案）：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PTP / IEEE 1588 协议栈及全厂以太网亚微秒对时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NTS、IPv6、NTP 广播/组播服务器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双网口冗余 / 热备切换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HTTPS</w:t>
      </w:r>
      <w:r>
        <w:rPr>
          <w:rFonts w:ascii="宋体" w:hAnsi="宋体" w:eastAsia="宋体"/>
          <w:b w:val="0"/>
          <w:sz w:val="22"/>
        </w:rPr>
        <w:t xml:space="preserve">、SNMPv3、SNMP 写操作（本机 SNMP 仅为 v2c </w:t>
      </w:r>
      <w:r>
        <w:rPr>
          <w:rFonts w:ascii="宋体" w:hAnsi="宋体" w:eastAsia="宋体"/>
          <w:b/>
          <w:sz w:val="22"/>
        </w:rPr>
        <w:t>只读</w:t>
      </w:r>
      <w:r>
        <w:rPr>
          <w:rFonts w:ascii="宋体" w:hAnsi="宋体" w:eastAsia="宋体"/>
          <w:b w:val="0"/>
          <w:sz w:val="22"/>
        </w:rPr>
        <w:t>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纳秒级现场总线授时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5. 接口与系统集成方案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5.1 网络侧（IT）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设备接入用户局域网（建议独立 VLAN 或管理网段）。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配置静态 IP（或按现场规划），保证 UDP </w:t>
      </w:r>
      <w:r>
        <w:rPr>
          <w:rFonts w:ascii="宋体" w:hAnsi="宋体" w:eastAsia="宋体"/>
          <w:b/>
          <w:sz w:val="22"/>
        </w:rPr>
        <w:t>123</w:t>
      </w:r>
      <w:r>
        <w:rPr>
          <w:rFonts w:ascii="宋体" w:hAnsi="宋体" w:eastAsia="宋体"/>
          <w:b w:val="0"/>
          <w:sz w:val="22"/>
        </w:rPr>
        <w:t xml:space="preserve"> 可达。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客户端配置：`server &lt;设备IP&gt; iburst`（Linux chrony/ntpd）或 Windows「Internet 时间」指向本机。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可选启用 NTP 源 IP 白名单，降低无关流量冲击。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5.2 工控侧（OT）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RS-485 总线按规范布线、终端 120 Ω、共地。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PLC/SCADA 以 FC03 周期读取日历寄存器（建议 ≥ 1 Hz）。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需要秒沿同步的设备接 TTL 1PPS；需要传统时码的设备接 IRIG-B120。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5.3 天线与安装要点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GNSS 天线置于室外开阔处，避免金属遮挡与强干扰源。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馈线长度与接头质量影响锁定时间与稳定性。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上电后等待 </w:t>
      </w:r>
      <w:r>
        <w:rPr>
          <w:rFonts w:ascii="宋体" w:hAnsi="宋体" w:eastAsia="宋体"/>
          <w:b/>
          <w:sz w:val="22"/>
        </w:rPr>
        <w:t>LK GNSS / LOCK</w:t>
      </w:r>
      <w:r>
        <w:rPr>
          <w:rFonts w:ascii="宋体" w:hAnsi="宋体" w:eastAsia="宋体"/>
          <w:b w:val="0"/>
          <w:sz w:val="22"/>
        </w:rPr>
        <w:t xml:space="preserve"> 再作为正式授时依据。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5.4 集成边界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责任方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投标方（供货）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设备本体、出厂配置、文档、培训（按合同）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建设方 / 集成商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机柜配电、网络规划、PLC 组态、客户端批量配置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用户运维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日常巡检、天线维护、账号与 ACL 管理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6. 验收建议（可写入技术协议）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6.1 到货验收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型号、序列号 SETID、固件 Build 与装箱单一致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外观、接口丝印、随箱文档齐全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上电后 Web / LCD 可访问，显示序列号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6.2 功能验收（建议）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序号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方法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合格判据（建议）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锁定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天线正常，观察 LCD/Web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进入 LOCK / Stratum 1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同网段客户端对时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偏移稳定在毫秒量级（以现场网络为准）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主站读年月日时分秒毫秒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与授时源一致（允许 1 ms 分辨）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1PPS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示波器观察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稳定秒脉冲输出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时码接收设备或示波器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帧输出正常（若合同含此口）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日志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Dashboard Diagnostics 下载 event_log / quality_24h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文件可打开；quality 含整点行（含 samples=0）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6.3 精度验收口径</w:t>
      </w:r>
    </w:p>
    <w:p>
      <w:r>
        <w:rPr>
          <w:rFonts w:ascii="宋体" w:hAnsi="宋体" w:eastAsia="宋体"/>
          <w:b w:val="0"/>
          <w:sz w:val="22"/>
        </w:rPr>
        <w:t>必须在合同中写明</w:t>
      </w:r>
      <w:r>
        <w:rPr>
          <w:rFonts w:ascii="宋体" w:hAnsi="宋体" w:eastAsia="宋体"/>
          <w:b/>
          <w:sz w:val="22"/>
        </w:rPr>
        <w:t>验收接口</w:t>
      </w:r>
      <w:r>
        <w:rPr>
          <w:rFonts w:ascii="宋体" w:hAnsi="宋体" w:eastAsia="宋体"/>
          <w:b w:val="0"/>
          <w:sz w:val="22"/>
        </w:rPr>
        <w:t>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若验收 NTP：以约定客户端软件与采样时长为准，不得引用内部 10 ns 指标。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若验收 1PPS：以时间间隔测量相对 GNSS 或相对内部 PPS 的约定方法为准。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若验收 Modbus：以寄存器分辨率 1 ms 及与参考钟的差值限值为准。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7. 可靠性与运维保障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能力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状态机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LOCK / HOLDOVER 等运行状态可在 LCD/Web 观察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看门狗与网口恢复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以太网异常具备软恢复路径；严重故障场景具备外部看门狗断电恢复机制（固件策略）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日志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事件与 24h 质量 CSV，便于运维留存与售后分析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配置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IP、NTP 策略、ACL 等可通过 Web 调整（详见用户指南）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日常运维建议：定期确认 LOCK、检查天线、备份网络配置、按需导出日志。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8. 实施计划（模板）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实际工期按招标要求与现场条件调整。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阶段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工作内容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建议工期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合同生效、技术交底、IP/天线位置确认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3～5 个工作日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T1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供货、到货验收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按合同交货期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T2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安装上电、网络与 485/PPS/IRIG 接线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1～2 日/站点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联调（NTP 客户端、PLC、时码设备）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1～3 日/站点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T4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培训与资料移交、初验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0.5～1 日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T5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试运行与终验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按招标约定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9. 培训与售后（模板）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9.1 培训内容（建议）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天线与电源安装注意事项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Web / LCD 巡检与常见告警含义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NTP 客户端与 Modbus 联调要点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日志导出与联系售后时需提供的信息（SETID、Build、现象时间）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4"/>
        </w:rPr>
        <w:t>9.2 质保与响应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建议填写（按公司商务条款）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质保期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____ 年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技术支持方式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电话 / 远程 / 现场（____）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备件策略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________________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10. 招标条款点对点响应表（填写模板）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复制本表，按招标文件技术规格</w:t>
      </w:r>
      <w:r>
        <w:rPr>
          <w:rFonts w:ascii="宋体" w:hAnsi="宋体" w:eastAsia="宋体"/>
          <w:b/>
          <w:i/>
          <w:color w:val="444444"/>
          <w:sz w:val="20"/>
        </w:rPr>
        <w:t>逐条</w:t>
      </w:r>
      <w:r>
        <w:rPr>
          <w:rFonts w:ascii="宋体" w:hAnsi="宋体" w:eastAsia="宋体"/>
          <w:b w:val="0"/>
          <w:i/>
          <w:color w:val="444444"/>
          <w:sz w:val="20"/>
        </w:rPr>
        <w:t>填写「完全响应 / 部分响应 / 偏离」，并附说明。空表供投标组使用。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序号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招标条款摘要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投标响应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响应情况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证明文件 / 备注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支持 NTP 服务器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支持 UDP 123，LOCK 后 Stratum 1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规格书 §5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授时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1PPS 驯服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规格书 §1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3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管理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HTTP Basic Auth Dashboard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用户指南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4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RS-485 绝对时间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RTU，1 ms 分辨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工业接口协议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5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1PPS 输出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1PPS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规格书 §7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6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IRIG-B120 DCLS（本机型）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完全响应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工业接口协议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7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双网口冗余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本机单口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偏离 / 不响应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 §4.6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8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PTP/1588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不包含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偏离 / 不响应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见 §4.6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9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…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…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11. 技术偏离说明书（如需）</w:t>
      </w:r>
    </w:p>
    <w:p>
      <w:r>
        <w:rPr>
          <w:rFonts w:ascii="宋体" w:hAnsi="宋体" w:eastAsia="宋体"/>
          <w:b w:val="0"/>
          <w:sz w:val="22"/>
        </w:rPr>
        <w:t>若存在第 10 章「偏离 / 不响应」项，建议单独附页说明：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偏离条款编号与原文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本产品实际能力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替代方案或对工程目标的影响评估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是否影响实质性响应（由商务/法务确认）</w:t>
      </w:r>
    </w:p>
    <w:p>
      <w:r>
        <w:rPr>
          <w:rFonts w:ascii="宋体" w:hAnsi="宋体" w:eastAsia="宋体"/>
          <w:b/>
          <w:sz w:val="22"/>
        </w:rPr>
        <w:t>常见主动声明：</w:t>
      </w:r>
      <w:r>
        <w:rPr>
          <w:rFonts w:ascii="宋体" w:hAnsi="宋体" w:eastAsia="宋体"/>
          <w:b w:val="0"/>
          <w:sz w:val="22"/>
        </w:rPr>
        <w:t xml:space="preserve"> 本机为单网口工业 NTP 授时服务器，不以 PTP 全厂亚微秒方案投标；若招标强制 PTP，应改投专用授时/交换机方案或联合体方案。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12. 投标附件清单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序号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附件名称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格式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A1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产品规格书（发货）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《产品规格书（发货）》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A2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Product Specification (Shipping)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《产品规格书（发货·英文）》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A3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参考源 · 应答策略 · 容量边界（一页）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《选型一页（参考源·策略·容量）》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A4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用户指南（标书脱敏版）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《用户指南（标书脱敏版）》（勿用含口令发货版）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A5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工业接口协议附件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《工业接口协议附件》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A6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本投标技术方案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md/docx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《投标技术方案》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A6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设备彩页 / 外形照片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按商务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A7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检测 / 产测报告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按合同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可选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打包说明：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招标上传 ZIP </w:t>
      </w:r>
      <w:r>
        <w:rPr>
          <w:rFonts w:ascii="宋体" w:hAnsi="宋体" w:eastAsia="宋体"/>
          <w:b/>
          <w:i/>
          <w:color w:val="444444"/>
          <w:sz w:val="20"/>
        </w:rPr>
        <w:t>仅含本公开技术包</w:t>
      </w:r>
      <w:r>
        <w:rPr>
          <w:rFonts w:ascii="宋体" w:hAnsi="宋体" w:eastAsia="宋体"/>
          <w:b w:val="0"/>
          <w:i/>
          <w:color w:val="444444"/>
          <w:sz w:val="20"/>
        </w:rPr>
        <w:t>内文件；</w:t>
      </w:r>
      <w:r>
        <w:rPr>
          <w:rFonts w:ascii="宋体" w:hAnsi="宋体" w:eastAsia="宋体"/>
          <w:b/>
          <w:i/>
          <w:color w:val="444444"/>
          <w:sz w:val="20"/>
        </w:rPr>
        <w:t>禁止</w:t>
      </w:r>
      <w:r>
        <w:rPr>
          <w:rFonts w:ascii="宋体" w:hAnsi="宋体" w:eastAsia="宋体"/>
          <w:b w:val="0"/>
          <w:i/>
          <w:color w:val="444444"/>
          <w:sz w:val="20"/>
        </w:rPr>
        <w:t>夹带含出厂口令的随箱说明书、厂内未公开技术资料。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28"/>
        </w:rPr>
        <w:t>13. 结束语</w:t>
      </w:r>
    </w:p>
    <w:p>
      <w:r>
        <w:rPr>
          <w:rFonts w:ascii="宋体" w:hAnsi="宋体" w:eastAsia="宋体"/>
          <w:b w:val="0"/>
          <w:sz w:val="22"/>
        </w:rPr>
        <w:t xml:space="preserve">本投标技术方案所载产品 </w:t>
      </w:r>
      <w:r>
        <w:rPr>
          <w:rFonts w:ascii="宋体" w:hAnsi="宋体" w:eastAsia="宋体"/>
          <w:b/>
          <w:sz w:val="22"/>
        </w:rPr>
        <w:t>QYTS-3000-BG-T-S</w:t>
      </w:r>
      <w:r>
        <w:rPr>
          <w:rFonts w:ascii="宋体" w:hAnsi="宋体" w:eastAsia="宋体"/>
          <w:b w:val="0"/>
          <w:sz w:val="22"/>
        </w:rPr>
        <w:t xml:space="preserve"> 可满足工控、安防、办公及计量辅助等场景下「</w:t>
      </w:r>
      <w:r>
        <w:rPr>
          <w:rFonts w:ascii="宋体" w:hAnsi="宋体" w:eastAsia="宋体"/>
          <w:b/>
          <w:sz w:val="22"/>
        </w:rPr>
        <w:t>本地 GNSS 权威源 + 多通道授时</w:t>
      </w:r>
      <w:r>
        <w:rPr>
          <w:rFonts w:ascii="宋体" w:hAnsi="宋体" w:eastAsia="宋体"/>
          <w:b w:val="0"/>
          <w:sz w:val="22"/>
        </w:rPr>
        <w:t>」的主流需求。投标单位承诺：技术指标与随附规格书、协议附件一致；合同约定的验收按</w:t>
      </w:r>
      <w:r>
        <w:rPr>
          <w:rFonts w:ascii="宋体" w:hAnsi="宋体" w:eastAsia="宋体"/>
          <w:b/>
          <w:sz w:val="22"/>
        </w:rPr>
        <w:t>分通道</w:t>
      </w:r>
      <w:r>
        <w:rPr>
          <w:rFonts w:ascii="宋体" w:hAnsi="宋体" w:eastAsia="宋体"/>
          <w:b w:val="0"/>
          <w:sz w:val="22"/>
        </w:rPr>
        <w:t>执行；对明确列出的不包含项不作虚假响应。</w:t>
      </w:r>
    </w:p>
    <w:p>
      <w:pPr>
        <w:jc w:val="center"/>
      </w:pPr>
      <w:r>
        <w:rPr>
          <w:rFonts w:ascii="宋体" w:hAnsi="宋体" w:eastAsia="宋体"/>
          <w:b w:val="0"/>
          <w:i/>
          <w:color w:val="666666"/>
          <w:sz w:val="20"/>
        </w:rPr>
        <w:t>具体商务条件、交货期、价格与质保条款以投标文件商务部分为准。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工业 NTP 授时服务器 — 投标技术方案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 NTP 授时服务器 — 投标技术方案</dc:title>
  <dc:subject>QYTS-3000 投标技术方案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Bid Technical Proposal</cp:category>
</cp:coreProperties>
</file>