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b/>
          <w:sz w:val="40"/>
        </w:rPr>
        <w:t>信息安全响应（半页）— QYTS-3000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内容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适用对象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代理商 · 最终客户 · 招标技术包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文档名称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信息安全响应（投标半页）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文档编号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`DOC-Q3000-SEC-CN-011`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型号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QYTS-3000-BG-T-S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文档版本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1.0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>适用于中小医院 / 弱电标书中「白名单、防攻击、管理鉴权」等条款的</w:t>
      </w:r>
      <w:r>
        <w:rPr>
          <w:rFonts w:ascii="宋体" w:hAnsi="宋体" w:eastAsia="宋体"/>
          <w:b/>
          <w:sz w:val="22"/>
        </w:rPr>
        <w:t>诚实响应</w:t>
      </w:r>
      <w:r>
        <w:rPr>
          <w:rFonts w:ascii="宋体" w:hAnsi="宋体" w:eastAsia="宋体"/>
          <w:b w:val="0"/>
          <w:sz w:val="22"/>
        </w:rPr>
        <w:t>。非等保三级整机认证声明。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招标常见表述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本产品响应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配置 / 验收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IP 白名单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可选 </w:t>
            </w:r>
            <w:r>
              <w:rPr>
                <w:rFonts w:ascii="宋体" w:hAnsi="宋体" w:eastAsia="宋体"/>
                <w:b/>
                <w:sz w:val="20"/>
              </w:rPr>
              <w:t>NTP 源 IP 白名单（ACL）</w:t>
            </w:r>
            <w:r>
              <w:rPr>
                <w:rFonts w:ascii="宋体" w:hAnsi="宋体" w:eastAsia="宋体"/>
                <w:b w:val="0"/>
                <w:sz w:val="20"/>
              </w:rPr>
              <w:t>；未列入拒答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Web Network → ACL；验收：非法 IP 无应答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管理鉴权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Web </w:t>
            </w:r>
            <w:r>
              <w:rPr>
                <w:rFonts w:ascii="宋体" w:hAnsi="宋体" w:eastAsia="宋体"/>
                <w:b/>
                <w:sz w:val="20"/>
              </w:rPr>
              <w:t>HTTP Basic Auth</w:t>
            </w:r>
            <w:r>
              <w:rPr>
                <w:rFonts w:ascii="宋体" w:hAnsi="宋体" w:eastAsia="宋体"/>
                <w:b w:val="0"/>
                <w:sz w:val="20"/>
              </w:rPr>
              <w:t>；可改用户名/密码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标书脱敏指南不含出厂口令；随箱指南另交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防扫描 / 防攻击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单源 ≤8 应答/秒；全网过载自适应限速；业务以 NTP/Web/SNMP 只读为主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不宣称「防火墙」或「抗 DDoS 专用设备」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SNMP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SNMPv2c 只读</w:t>
            </w:r>
            <w:r>
              <w:rPr>
                <w:rFonts w:ascii="宋体" w:hAnsi="宋体" w:eastAsia="宋体"/>
                <w:b w:val="0"/>
                <w:sz w:val="20"/>
              </w:rPr>
              <w:t>（UDP 161）；无写操作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不响应 SNMPv3 / SNMP 写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Syslog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可选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UDP 边沿推送（默认关）；与 `event_log` 同词典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不含 Trap / Email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日志与追溯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`event_log.csv`（边沿事件）、`quality_24h.csv`（驯服质量）；可选 Client List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不作逐包永久审计库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明确不包含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HTTPS、NTS、IPv6、双网口热备、整机等保认证（除非另案）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见规格书「不包含」</w:t>
            </w:r>
          </w:p>
        </w:tc>
      </w:tr>
    </w:tbl>
    <w:p/>
    <w:p>
      <w:r>
        <w:rPr>
          <w:rFonts w:ascii="宋体" w:hAnsi="宋体" w:eastAsia="宋体"/>
          <w:b/>
          <w:sz w:val="22"/>
        </w:rPr>
        <w:t>医院场景建议：</w:t>
      </w:r>
      <w:r>
        <w:rPr>
          <w:rFonts w:ascii="宋体" w:hAnsi="宋体" w:eastAsia="宋体"/>
          <w:b w:val="0"/>
          <w:sz w:val="22"/>
        </w:rPr>
        <w:t xml:space="preserve"> 对时网段与办公网隔离或 ACL 仅放行 HIS/NVR 网段；管理口令现场修改后交维保。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17" w:right="1587" w:bottom="1417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b w:val="0"/>
        <w:sz w:val="18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rFonts w:ascii="宋体" w:hAnsi="宋体" w:eastAsia="宋体"/>
        <w:b w:val="0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微软雅黑" w:hAnsi="微软雅黑" w:eastAsia="微软雅黑"/>
        <w:b w:val="0"/>
        <w:color w:val="666666"/>
        <w:sz w:val="18"/>
      </w:rPr>
      <w:t>信息安全响应（半页）— QYTS-3000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Rule="auto" w:line="300" w:after="120"/>
    </w:pPr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信息安全响应（半页）— QYTS-3000</dc:title>
  <dc:subject>QYTS-3000 信息安全响应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Security</cp:category>
</cp:coreProperties>
</file>