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b/>
          <w:sz w:val="40"/>
        </w:rPr>
        <w:t>工业 NTP 授时服务器 — 选型一页（参考源·策略·容量）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适用对象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代理商 · 最终客户 · 招标技术包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文档名称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选型一页（参考源·策略·容量）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文档编号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`DOC-Q3000-SEL-CN-011`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文档版本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1.0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适用固件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V4.9.0-b139+（以设备 Web / 铭牌为准）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用途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选型 / 投标 / 验收对照（「状态—策略—容量」一页写法）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配套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同目录《产品规格书（发货）》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1. 参考源状态（看什么 · 意味着什么）</w:t>
      </w:r>
    </w:p>
    <w:p>
      <w:r>
        <w:rPr>
          <w:rFonts w:ascii="宋体" w:hAnsi="宋体" w:eastAsia="宋体"/>
          <w:b w:val="0"/>
          <w:sz w:val="22"/>
        </w:rPr>
        <w:t xml:space="preserve">时间参考 = </w:t>
      </w:r>
      <w:r>
        <w:rPr>
          <w:rFonts w:ascii="宋体" w:hAnsi="宋体" w:eastAsia="宋体"/>
          <w:b/>
          <w:sz w:val="22"/>
        </w:rPr>
        <w:t>GNSS 1PPS + 本地时钟驯服</w:t>
      </w:r>
      <w:r>
        <w:rPr>
          <w:rFonts w:ascii="宋体" w:hAnsi="宋体" w:eastAsia="宋体"/>
          <w:b w:val="0"/>
          <w:sz w:val="22"/>
        </w:rPr>
        <w:t>（非 PTP；非双参考热备）。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设备状态（Web / LCD）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默认策略下 NTP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LINK 正常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网口链路 up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可收发 NTP / Web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GNSS 有星 / FIX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模组定位有效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驯服进行中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暖机</w:t>
            </w:r>
            <w:r>
              <w:rPr>
                <w:rFonts w:ascii="宋体" w:hAnsi="宋体" w:eastAsia="宋体"/>
                <w:b w:val="0"/>
                <w:sz w:val="20"/>
              </w:rPr>
              <w:t>（已有同步与 PPS，尚未 LOCK）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冷启收敛中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可 </w:t>
            </w:r>
            <w:r>
              <w:rPr>
                <w:rFonts w:ascii="宋体" w:hAnsi="宋体" w:eastAsia="宋体"/>
                <w:b/>
                <w:sz w:val="20"/>
              </w:rPr>
              <w:t>Stratum 2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LOCK</w:t>
            </w:r>
            <w:r>
              <w:rPr>
                <w:rFonts w:ascii="宋体" w:hAnsi="宋体" w:eastAsia="宋体"/>
                <w:b w:val="0"/>
                <w:sz w:val="20"/>
              </w:rPr>
              <w:t>（正式锁定）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参考源可用，正式授时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Stratum 1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PPS 短时丢失</w:t>
            </w:r>
            <w:r>
              <w:rPr>
                <w:rFonts w:ascii="宋体" w:hAnsi="宋体" w:eastAsia="宋体"/>
                <w:b w:val="0"/>
                <w:sz w:val="20"/>
              </w:rPr>
              <w:t>（曾 LOCK）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秒脉冲毛刺（约 ≤10 s 窗）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仍可应答（避免客户端空窗）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失锁 / 守时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不可用或驯服退出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见 §2（停答或守时窗）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无 LINK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网线/交换机故障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无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NTP（与策略无关）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分层精度（不可混写）：</w:t>
      </w:r>
      <w:r>
        <w:rPr>
          <w:rFonts w:ascii="宋体" w:hAnsi="宋体" w:eastAsia="宋体"/>
          <w:b w:val="0"/>
          <w:sz w:val="22"/>
        </w:rPr>
        <w:t xml:space="preserve"> 内部/1PPS 为硬件边沿量级；</w:t>
      </w:r>
      <w:r>
        <w:rPr>
          <w:rFonts w:ascii="宋体" w:hAnsi="宋体" w:eastAsia="宋体"/>
          <w:b/>
          <w:sz w:val="22"/>
        </w:rPr>
        <w:t>以太网 NTP 为局域网毫秒级</w:t>
      </w:r>
      <w:r>
        <w:rPr>
          <w:rFonts w:ascii="宋体" w:hAnsi="宋体" w:eastAsia="宋体"/>
          <w:b w:val="0"/>
          <w:sz w:val="22"/>
        </w:rPr>
        <w:t xml:space="preserve">（以客户端实测为准）；Modbus 分辨 </w:t>
      </w:r>
      <w:r>
        <w:rPr>
          <w:rFonts w:ascii="宋体" w:hAnsi="宋体" w:eastAsia="宋体"/>
          <w:b/>
          <w:sz w:val="22"/>
        </w:rPr>
        <w:t>1 ms</w:t>
      </w:r>
      <w:r>
        <w:rPr>
          <w:rFonts w:ascii="宋体" w:hAnsi="宋体" w:eastAsia="宋体"/>
          <w:b w:val="0"/>
          <w:sz w:val="22"/>
        </w:rPr>
        <w:t>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2. NTP 应答策略（Web「NTP 应答策略」）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Web 名称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LCD `Pol`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暖机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LOCK 后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GNSS 失锁后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锁定应答（出厂默认）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`LCK`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可 </w:t>
            </w:r>
            <w:r>
              <w:rPr>
                <w:rFonts w:ascii="宋体" w:hAnsi="宋体" w:eastAsia="宋体"/>
                <w:b/>
                <w:sz w:val="20"/>
              </w:rPr>
              <w:t>S2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S1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停答</w:t>
            </w:r>
            <w:r>
              <w:rPr>
                <w:rFonts w:ascii="宋体" w:hAnsi="宋体" w:eastAsia="宋体"/>
                <w:b w:val="0"/>
                <w:sz w:val="20"/>
              </w:rPr>
              <w:t>（仅短时 PPS 毛刺仍答）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锁定 + 守时窗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`TIM`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同左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S1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约 </w:t>
            </w:r>
            <w:r>
              <w:rPr>
                <w:rFonts w:ascii="宋体" w:hAnsi="宋体" w:eastAsia="宋体"/>
                <w:b/>
                <w:sz w:val="20"/>
              </w:rPr>
              <w:t>≤5 min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内仍可 </w:t>
            </w:r>
            <w:r>
              <w:rPr>
                <w:rFonts w:ascii="宋体" w:hAnsi="宋体" w:eastAsia="宋体"/>
                <w:b/>
                <w:sz w:val="20"/>
              </w:rPr>
              <w:t>S2</w:t>
            </w:r>
            <w:r>
              <w:rPr>
                <w:rFonts w:ascii="宋体" w:hAnsi="宋体" w:eastAsia="宋体"/>
                <w:b w:val="0"/>
                <w:sz w:val="20"/>
              </w:rPr>
              <w:t>（导出/浸泡推荐）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守时应答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`HLD`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同步即可答，多为 </w:t>
            </w:r>
            <w:r>
              <w:rPr>
                <w:rFonts w:ascii="宋体" w:hAnsi="宋体" w:eastAsia="宋体"/>
                <w:b/>
                <w:sz w:val="20"/>
              </w:rPr>
              <w:t>S2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多为 </w:t>
            </w:r>
            <w:r>
              <w:rPr>
                <w:rFonts w:ascii="宋体" w:hAnsi="宋体" w:eastAsia="宋体"/>
                <w:b/>
                <w:sz w:val="20"/>
              </w:rPr>
              <w:t>S2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仍可应答（老旧客户端「必须一直有包」）</w:t>
            </w:r>
          </w:p>
        </w:tc>
      </w:tr>
    </w:tbl>
    <w:p/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策略在 </w:t>
      </w:r>
      <w:r>
        <w:rPr>
          <w:rFonts w:ascii="宋体" w:hAnsi="宋体" w:eastAsia="宋体"/>
          <w:b/>
          <w:sz w:val="22"/>
        </w:rPr>
        <w:t>Network</w:t>
      </w:r>
      <w:r>
        <w:rPr>
          <w:rFonts w:ascii="宋体" w:hAnsi="宋体" w:eastAsia="宋体"/>
          <w:b w:val="0"/>
          <w:sz w:val="22"/>
        </w:rPr>
        <w:t xml:space="preserve"> 页保存后写入配置并生效（随重启保持）。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大文件 Web 导出</w:t>
      </w:r>
      <w:r>
        <w:rPr>
          <w:rFonts w:ascii="宋体" w:hAnsi="宋体" w:eastAsia="宋体"/>
          <w:b w:val="0"/>
          <w:sz w:val="22"/>
        </w:rPr>
        <w:t xml:space="preserve">期间建议用 </w:t>
      </w:r>
      <w:r>
        <w:rPr>
          <w:rFonts w:ascii="宋体" w:hAnsi="宋体" w:eastAsia="宋体"/>
          <w:b/>
          <w:sz w:val="22"/>
        </w:rPr>
        <w:t>锁定+守时窗</w:t>
      </w:r>
      <w:r>
        <w:rPr>
          <w:rFonts w:ascii="宋体" w:hAnsi="宋体" w:eastAsia="宋体"/>
          <w:b w:val="0"/>
          <w:sz w:val="22"/>
        </w:rPr>
        <w:t>，降低客户端「无时间源」概率。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可选 </w:t>
      </w:r>
      <w:r>
        <w:rPr>
          <w:rFonts w:ascii="宋体" w:hAnsi="宋体" w:eastAsia="宋体"/>
          <w:b/>
          <w:sz w:val="22"/>
        </w:rPr>
        <w:t>NTP 源 IP 白名单（ACL）</w:t>
      </w:r>
      <w:r>
        <w:rPr>
          <w:rFonts w:ascii="宋体" w:hAnsi="宋体" w:eastAsia="宋体"/>
          <w:b w:val="0"/>
          <w:sz w:val="22"/>
        </w:rPr>
        <w:t>：未列入则拒答（与上表独立）。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3. 容量边界（合同可写数字）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边界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推荐客户端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≤ </w:t>
            </w:r>
            <w:r>
              <w:rPr>
                <w:rFonts w:ascii="宋体" w:hAnsi="宋体" w:eastAsia="宋体"/>
                <w:b/>
                <w:sz w:val="20"/>
              </w:rPr>
              <w:t>60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台（局域网）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选型默认承诺；典型慢 poll（如数十秒～数分钟一轮）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单源 IP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≤ </w:t>
            </w:r>
            <w:r>
              <w:rPr>
                <w:rFonts w:ascii="宋体" w:hAnsi="宋体" w:eastAsia="宋体"/>
                <w:b/>
                <w:sz w:val="20"/>
              </w:rPr>
              <w:t>8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应答/秒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防单机狂打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全网过载保护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约 ≤ </w:t>
            </w:r>
            <w:r>
              <w:rPr>
                <w:rFonts w:ascii="宋体" w:hAnsi="宋体" w:eastAsia="宋体"/>
                <w:b/>
                <w:sz w:val="20"/>
              </w:rPr>
              <w:t>1024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应答/秒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自适应限速：常态不硬卡低上限；过载进入保护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Web 大导出时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全网上限进一步降低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与 NTP </w:t>
            </w:r>
            <w:r>
              <w:rPr>
                <w:rFonts w:ascii="宋体" w:hAnsi="宋体" w:eastAsia="宋体"/>
                <w:b/>
                <w:sz w:val="20"/>
              </w:rPr>
              <w:t>共一口</w:t>
            </w:r>
            <w:r>
              <w:rPr>
                <w:rFonts w:ascii="宋体" w:hAnsi="宋体" w:eastAsia="宋体"/>
                <w:b w:val="0"/>
                <w:sz w:val="20"/>
              </w:rPr>
              <w:t>；压测勿并行下大 CSV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不包含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PTP、双网口热备、IPv6、NTP 广播/组播、NTS、</w:t>
            </w:r>
            <w:r>
              <w:rPr>
                <w:rFonts w:ascii="宋体" w:hAnsi="宋体" w:eastAsia="宋体"/>
                <w:b/>
                <w:sz w:val="20"/>
              </w:rPr>
              <w:t>HTTPS</w:t>
            </w:r>
            <w:r>
              <w:rPr>
                <w:rFonts w:ascii="宋体" w:hAnsi="宋体" w:eastAsia="宋体"/>
                <w:b w:val="0"/>
                <w:sz w:val="20"/>
              </w:rPr>
              <w:t>、SNMPv3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对标入门工控 NTP；本机 SNMP 仅为 v2c </w:t>
            </w:r>
            <w:r>
              <w:rPr>
                <w:rFonts w:ascii="宋体" w:hAnsi="宋体" w:eastAsia="宋体"/>
                <w:b/>
                <w:sz w:val="20"/>
              </w:rPr>
              <w:t>只读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验收建议：</w:t>
      </w:r>
      <w:r>
        <w:rPr>
          <w:rFonts w:ascii="宋体" w:hAnsi="宋体" w:eastAsia="宋体"/>
          <w:b w:val="0"/>
          <w:sz w:val="22"/>
        </w:rPr>
        <w:t xml:space="preserve"> LOCK 后同网段 PC `w32tm` / `sntp` 成功；Web </w:t>
      </w:r>
      <w:r>
        <w:rPr>
          <w:rFonts w:ascii="宋体" w:hAnsi="宋体" w:eastAsia="宋体"/>
          <w:b/>
          <w:sz w:val="22"/>
        </w:rPr>
        <w:t>NTP Served</w:t>
      </w:r>
      <w:r>
        <w:rPr>
          <w:rFonts w:ascii="宋体" w:hAnsi="宋体" w:eastAsia="宋体"/>
          <w:b w:val="0"/>
          <w:sz w:val="22"/>
        </w:rPr>
        <w:t xml:space="preserve"> 递增；勿以「模组 ns」验收「客户端 ns」。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4. 一眼对照（给商务 / 集成商）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问题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答案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什么时候是正式 Stratum 1？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LOCK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且默认/锁定类策略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冷启客户端会不会长时间无时间？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默认策略下 </w:t>
            </w:r>
            <w:r>
              <w:rPr>
                <w:rFonts w:ascii="宋体" w:hAnsi="宋体" w:eastAsia="宋体"/>
                <w:b/>
                <w:sz w:val="20"/>
              </w:rPr>
              <w:t>暖机可 S2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；要更稳失锁行为选 </w:t>
            </w:r>
            <w:r>
              <w:rPr>
                <w:rFonts w:ascii="宋体" w:hAnsi="宋体" w:eastAsia="宋体"/>
                <w:b/>
                <w:sz w:val="20"/>
              </w:rPr>
              <w:t>锁定+守时窗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能带多少台？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推荐 ≤60</w:t>
            </w:r>
            <w:r>
              <w:rPr>
                <w:rFonts w:ascii="宋体" w:hAnsi="宋体" w:eastAsia="宋体"/>
                <w:b w:val="0"/>
                <w:sz w:val="20"/>
              </w:rPr>
              <w:t>；不是万级 req/s 机房机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和 Meinberg 哪档比？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入门工控 NTP（M150/M250 级场景）</w:t>
            </w:r>
            <w:r>
              <w:rPr>
                <w:rFonts w:ascii="宋体" w:hAnsi="宋体" w:eastAsia="宋体"/>
                <w:b w:val="0"/>
                <w:sz w:val="20"/>
              </w:rPr>
              <w:t>；不做 IMS/PTP/SyncFire</w:t>
            </w:r>
          </w:p>
        </w:tc>
      </w:tr>
    </w:tbl>
    <w:p/>
    <w:p/>
    <w:p>
      <w:pPr>
        <w:jc w:val="center"/>
      </w:pPr>
      <w:r>
        <w:rPr>
          <w:rFonts w:ascii="宋体" w:hAnsi="宋体" w:eastAsia="宋体"/>
          <w:b w:val="0"/>
          <w:i/>
          <w:color w:val="666666"/>
          <w:sz w:val="20"/>
        </w:rPr>
        <w:t>文件名 《选型一页》。接口细节见《工业接口协议附件》，操作见《用户指南》。固件以设备显示为准。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b w:val="0"/>
        <w:sz w:val="18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ascii="宋体" w:hAnsi="宋体" w:eastAsia="宋体"/>
        <w:b w:val="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/>
        <w:b w:val="0"/>
        <w:color w:val="666666"/>
        <w:sz w:val="18"/>
      </w:rPr>
      <w:t>工业 NTP 授时服务器 — 选型一页（参考源·策略·容量）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 NTP 授时服务器 — 选型一页（参考源·策略·容量）</dc:title>
  <dc:subject>QYTS-3000 选型一页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Selection Sheet</cp:category>
</cp:coreProperties>
</file>